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D21E0" w14:textId="70EF7936" w:rsidR="004C1EAB" w:rsidRPr="00452C89" w:rsidRDefault="004C1EAB" w:rsidP="009B7D58">
      <w:pPr>
        <w:pStyle w:val="Nivel01"/>
      </w:pPr>
      <w:r w:rsidRPr="00452C89">
        <w:t xml:space="preserve">ANEXO </w:t>
      </w:r>
      <w:r w:rsidR="00DD7A05">
        <w:t>XII</w:t>
      </w:r>
      <w:r w:rsidRPr="00452C89">
        <w:t>I-</w:t>
      </w:r>
      <w:r w:rsidR="003E2A4D" w:rsidRPr="003E2A4D">
        <w:t xml:space="preserve"> Requisitos para Habilitação</w:t>
      </w:r>
    </w:p>
    <w:p w14:paraId="4CF95CD3" w14:textId="77777777" w:rsidR="004C1EAB" w:rsidRPr="00452C89" w:rsidRDefault="004C1EAB" w:rsidP="009B7D58">
      <w:pPr>
        <w:pStyle w:val="PargrafodaLista"/>
        <w:numPr>
          <w:ilvl w:val="0"/>
          <w:numId w:val="3"/>
        </w:numPr>
        <w:spacing w:line="360" w:lineRule="auto"/>
        <w:contextualSpacing w:val="0"/>
        <w:rPr>
          <w:rFonts w:asciiTheme="minorHAnsi" w:hAnsiTheme="minorHAnsi" w:cstheme="minorHAnsi"/>
          <w:szCs w:val="24"/>
        </w:rPr>
      </w:pPr>
      <w:r w:rsidRPr="00452C89">
        <w:rPr>
          <w:rFonts w:asciiTheme="minorHAnsi" w:hAnsiTheme="minorHAnsi" w:cstheme="minorHAnsi"/>
          <w:szCs w:val="24"/>
        </w:rPr>
        <w:t>Para fins de habilitação, deverá o licitante comprovar os seguintes requisitos:</w:t>
      </w:r>
    </w:p>
    <w:p w14:paraId="156AEB50" w14:textId="77777777" w:rsidR="004C1EAB" w:rsidRPr="00452C89" w:rsidRDefault="004C1EAB" w:rsidP="009B7D58">
      <w:pPr>
        <w:pStyle w:val="N111"/>
        <w:numPr>
          <w:ilvl w:val="1"/>
          <w:numId w:val="2"/>
        </w:numPr>
        <w:spacing w:line="360" w:lineRule="auto"/>
        <w:rPr>
          <w:rFonts w:asciiTheme="minorHAnsi" w:hAnsiTheme="minorHAnsi" w:cstheme="minorHAnsi"/>
          <w:szCs w:val="24"/>
        </w:rPr>
      </w:pPr>
      <w:r w:rsidRPr="00452C89">
        <w:rPr>
          <w:rFonts w:asciiTheme="minorHAnsi" w:hAnsiTheme="minorHAnsi" w:cstheme="minorHAnsi"/>
          <w:szCs w:val="24"/>
        </w:rPr>
        <w:t>Habilitação jurídica</w:t>
      </w:r>
    </w:p>
    <w:p w14:paraId="41D21BAD"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47C9DDB"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Sociedade simples: inscrição do ato constitutivo no Registro Civil de Pessoas Jurídicas do local de sua sede, acompanhada de documento comprobatório de seus administradores;</w:t>
      </w:r>
    </w:p>
    <w:p w14:paraId="2BC0A484"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8741A25"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Os documentos apresentados deverão estar acompanhados de todas as alterações ou da consolidação respectiva.</w:t>
      </w:r>
    </w:p>
    <w:p w14:paraId="391BCE24" w14:textId="77777777" w:rsidR="004C1EAB" w:rsidRPr="00452C89" w:rsidRDefault="004C1EAB" w:rsidP="009B7D58">
      <w:pPr>
        <w:pStyle w:val="N111"/>
        <w:numPr>
          <w:ilvl w:val="1"/>
          <w:numId w:val="2"/>
        </w:numPr>
        <w:spacing w:line="360" w:lineRule="auto"/>
        <w:rPr>
          <w:rFonts w:asciiTheme="minorHAnsi" w:hAnsiTheme="minorHAnsi" w:cstheme="minorHAnsi"/>
          <w:szCs w:val="24"/>
        </w:rPr>
      </w:pPr>
      <w:r w:rsidRPr="00452C89">
        <w:rPr>
          <w:rFonts w:asciiTheme="minorHAnsi" w:hAnsiTheme="minorHAnsi" w:cstheme="minorHAnsi"/>
          <w:szCs w:val="24"/>
        </w:rPr>
        <w:t>Habilitação fiscal, social e trabalhista</w:t>
      </w:r>
    </w:p>
    <w:p w14:paraId="7AC0069A"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Prova de inscrição no Cadastro Nacional de Pessoas Jurídicas ou no Cadastro de Pessoas Físicas, conforme o caso;</w:t>
      </w:r>
    </w:p>
    <w:p w14:paraId="33CA45BF"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w:t>
      </w:r>
      <w:r w:rsidRPr="00452C89">
        <w:rPr>
          <w:rFonts w:asciiTheme="minorHAnsi" w:hAnsiTheme="minorHAnsi" w:cstheme="minorHAnsi"/>
          <w:szCs w:val="24"/>
        </w:rPr>
        <w:lastRenderedPageBreak/>
        <w:t>de outubro de 2014, do Secretário da Receita Federal do Brasil e da Procuradora-Geral da Fazenda Nacional.</w:t>
      </w:r>
    </w:p>
    <w:p w14:paraId="71E27757"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Prova de regularidade com o Fundo de Garantia do Tempo de Serviço (FGTS);</w:t>
      </w:r>
    </w:p>
    <w:p w14:paraId="18094556"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6B5AA1E"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Prova de regularidade com a Fazenda Pública Municipal da sede da licitante.</w:t>
      </w:r>
    </w:p>
    <w:p w14:paraId="724C0B60"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Prova de regularidade com a Fazenda Estadual (onde for sediada a empresa e a do Estado do Espírito Santo, quando a sede não for deste Estado).</w:t>
      </w:r>
    </w:p>
    <w:p w14:paraId="6A5D50D7"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18F348C3"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483B0F98" w14:textId="77777777" w:rsidR="004C1EAB" w:rsidRPr="00452C89" w:rsidRDefault="004C1EAB" w:rsidP="009B7D58">
      <w:pPr>
        <w:pStyle w:val="N111"/>
        <w:numPr>
          <w:ilvl w:val="2"/>
          <w:numId w:val="2"/>
        </w:numPr>
        <w:spacing w:line="360" w:lineRule="auto"/>
        <w:ind w:left="0"/>
        <w:rPr>
          <w:rFonts w:asciiTheme="minorHAnsi" w:hAnsiTheme="minorHAnsi" w:cstheme="minorHAnsi"/>
          <w:szCs w:val="24"/>
        </w:rPr>
      </w:pPr>
      <w:r w:rsidRPr="00452C89">
        <w:rPr>
          <w:rFonts w:asciiTheme="minorHAnsi" w:hAnsiTheme="minorHAnsi" w:cstheme="minorHAnsi"/>
          <w:szCs w:val="24"/>
        </w:rPr>
        <w:t>Nos casos de microempresas, empresas de pequeno porte ou equiparadas, não se exige comprovação de regularidade fiscal para fins de habilitação, mas somente para formalização da contratação, observadas as seguintes regras:</w:t>
      </w:r>
    </w:p>
    <w:p w14:paraId="1CD2213F" w14:textId="77777777" w:rsidR="004C1EAB" w:rsidRPr="00452C89" w:rsidRDefault="004C1EAB" w:rsidP="009B7D58">
      <w:pPr>
        <w:pStyle w:val="N111"/>
        <w:numPr>
          <w:ilvl w:val="3"/>
          <w:numId w:val="2"/>
        </w:numPr>
        <w:spacing w:line="360" w:lineRule="auto"/>
        <w:rPr>
          <w:rFonts w:asciiTheme="minorHAnsi" w:hAnsiTheme="minorHAnsi" w:cstheme="minorHAnsi"/>
          <w:szCs w:val="24"/>
        </w:rPr>
      </w:pPr>
      <w:r w:rsidRPr="00452C89">
        <w:rPr>
          <w:rFonts w:asciiTheme="minorHAnsi" w:hAnsiTheme="minorHAnsi" w:cstheme="minorHAnsi"/>
          <w:szCs w:val="24"/>
        </w:rPr>
        <w:t>A licitante deverá apresentar, à época da habilitação, todos os documentos exigidos para efeito de comprovação de regularidade fiscal, mesmo que apresentem alguma restrição.</w:t>
      </w:r>
    </w:p>
    <w:p w14:paraId="44523E5C" w14:textId="77777777" w:rsidR="004C1EAB" w:rsidRPr="00452C89" w:rsidRDefault="004C1EAB" w:rsidP="009B7D58">
      <w:pPr>
        <w:pStyle w:val="N111"/>
        <w:numPr>
          <w:ilvl w:val="3"/>
          <w:numId w:val="2"/>
        </w:numPr>
        <w:spacing w:line="360" w:lineRule="auto"/>
        <w:rPr>
          <w:rFonts w:asciiTheme="minorHAnsi" w:hAnsiTheme="minorHAnsi" w:cstheme="minorHAnsi"/>
          <w:szCs w:val="24"/>
        </w:rPr>
      </w:pPr>
      <w:r w:rsidRPr="00452C89">
        <w:rPr>
          <w:rFonts w:asciiTheme="minorHAnsi" w:hAnsiTheme="minorHAnsi" w:cstheme="minorHAnsi"/>
          <w:szCs w:val="24"/>
        </w:rPr>
        <w:t xml:space="preserve">Havendo alguma restrição na comprovação da regularidade fiscal ou trabalhista, é assegurado o prazo de 5 (cinco) dias úteis, cujo termo inicial corresponderá ao momento em que o proponente for declarado vencedor do certame, para a </w:t>
      </w:r>
      <w:r w:rsidRPr="00452C89">
        <w:rPr>
          <w:rFonts w:asciiTheme="minorHAnsi" w:hAnsiTheme="minorHAnsi" w:cstheme="minorHAnsi"/>
          <w:szCs w:val="24"/>
        </w:rPr>
        <w:lastRenderedPageBreak/>
        <w:t>regularização da documentação, pagamento ou parcelamento do débito, e emissão de eventuais certidões negativas ou positivas com efeito de certidão negativa.</w:t>
      </w:r>
    </w:p>
    <w:p w14:paraId="222F2C69" w14:textId="77777777" w:rsidR="004C1EAB" w:rsidRPr="00452C89" w:rsidRDefault="004C1EAB" w:rsidP="009B7D58">
      <w:pPr>
        <w:pStyle w:val="N111"/>
        <w:numPr>
          <w:ilvl w:val="3"/>
          <w:numId w:val="2"/>
        </w:numPr>
        <w:spacing w:line="360" w:lineRule="auto"/>
        <w:rPr>
          <w:rFonts w:asciiTheme="minorHAnsi" w:hAnsiTheme="minorHAnsi" w:cstheme="minorHAnsi"/>
          <w:szCs w:val="24"/>
        </w:rPr>
      </w:pPr>
      <w:r w:rsidRPr="00452C89">
        <w:rPr>
          <w:rFonts w:asciiTheme="minorHAnsi" w:hAnsiTheme="minorHAnsi" w:cstheme="minorHAnsi"/>
          <w:szCs w:val="24"/>
        </w:rPr>
        <w:t>O prazo a que se refere o item anterior poderá, a critério da Administração Pública, ser prorrogado por igual período.</w:t>
      </w:r>
    </w:p>
    <w:p w14:paraId="06C77B95" w14:textId="77777777" w:rsidR="004C1EAB" w:rsidRPr="00452C89" w:rsidRDefault="004C1EAB" w:rsidP="009B7D58">
      <w:pPr>
        <w:pStyle w:val="N111"/>
        <w:numPr>
          <w:ilvl w:val="3"/>
          <w:numId w:val="2"/>
        </w:numPr>
        <w:spacing w:line="360" w:lineRule="auto"/>
        <w:rPr>
          <w:rFonts w:asciiTheme="minorHAnsi" w:hAnsiTheme="minorHAnsi" w:cstheme="minorHAnsi"/>
          <w:szCs w:val="24"/>
        </w:rPr>
      </w:pPr>
      <w:r w:rsidRPr="00452C89">
        <w:rPr>
          <w:rFonts w:asciiTheme="minorHAnsi" w:hAnsiTheme="minorHAnsi" w:cstheme="minorHAnsi"/>
          <w:szCs w:val="24"/>
        </w:rPr>
        <w:t xml:space="preserve">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w:t>
      </w:r>
      <w:proofErr w:type="spellStart"/>
      <w:r w:rsidRPr="00452C89">
        <w:rPr>
          <w:rFonts w:asciiTheme="minorHAnsi" w:hAnsiTheme="minorHAnsi" w:cstheme="minorHAnsi"/>
          <w:szCs w:val="24"/>
        </w:rPr>
        <w:t>arts</w:t>
      </w:r>
      <w:proofErr w:type="spellEnd"/>
      <w:r w:rsidRPr="00452C89">
        <w:rPr>
          <w:rFonts w:asciiTheme="minorHAnsi" w:hAnsiTheme="minorHAnsi" w:cstheme="minorHAnsi"/>
          <w:szCs w:val="24"/>
        </w:rPr>
        <w:t>. 156 e 151 do Código Tributário Nacional, acompanhado de prova do protocolo do pedido de certidão.</w:t>
      </w:r>
    </w:p>
    <w:p w14:paraId="2DDCC8E3" w14:textId="77777777" w:rsidR="004C1EAB" w:rsidRPr="00452C89" w:rsidRDefault="004C1EAB" w:rsidP="009B7D58">
      <w:pPr>
        <w:pStyle w:val="N111"/>
        <w:numPr>
          <w:ilvl w:val="3"/>
          <w:numId w:val="2"/>
        </w:numPr>
        <w:spacing w:line="360" w:lineRule="auto"/>
        <w:rPr>
          <w:rFonts w:asciiTheme="minorHAnsi" w:hAnsiTheme="minorHAnsi" w:cstheme="minorHAnsi"/>
          <w:szCs w:val="24"/>
        </w:rPr>
      </w:pPr>
      <w:r w:rsidRPr="00452C89">
        <w:rPr>
          <w:rFonts w:asciiTheme="minorHAnsi" w:hAnsiTheme="minorHAnsi" w:cstheme="minorHAnsi"/>
          <w:szCs w:val="24"/>
        </w:rPr>
        <w:t>Na hipótese descrita no inciso anterior, a licitante terá o prazo de 10 (dez) dias, contado da apresentação dos documentos a que se refere o parágrafo anterior, para apresentar a certidão comprobatória de regularidade fiscal ou trabalhista.</w:t>
      </w:r>
    </w:p>
    <w:p w14:paraId="0A138A6E" w14:textId="77777777" w:rsidR="004C1EAB" w:rsidRPr="00452C89" w:rsidRDefault="004C1EAB" w:rsidP="009B7D58">
      <w:pPr>
        <w:pStyle w:val="N111"/>
        <w:numPr>
          <w:ilvl w:val="3"/>
          <w:numId w:val="2"/>
        </w:numPr>
        <w:spacing w:line="360" w:lineRule="auto"/>
        <w:rPr>
          <w:rFonts w:asciiTheme="minorHAnsi" w:hAnsiTheme="minorHAnsi" w:cstheme="minorHAnsi"/>
          <w:szCs w:val="24"/>
        </w:rPr>
      </w:pPr>
      <w:r w:rsidRPr="00452C89">
        <w:rPr>
          <w:rFonts w:asciiTheme="minorHAnsi" w:hAnsiTheme="minorHAnsi" w:cstheme="minorHAnsi"/>
          <w:szCs w:val="24"/>
        </w:rPr>
        <w:t>O prazo a que se refere o item anterior poderá, a critério da Administração Pública, ser prorrogado por igual período, uma única vez, se demonstrado pela licitante a impossibilidade de o órgão competente emitir a certidão.</w:t>
      </w:r>
    </w:p>
    <w:p w14:paraId="2AB248E5" w14:textId="77777777" w:rsidR="004C1EAB" w:rsidRPr="00452C89" w:rsidRDefault="004C1EAB" w:rsidP="009B7D58">
      <w:pPr>
        <w:pStyle w:val="N111"/>
        <w:numPr>
          <w:ilvl w:val="3"/>
          <w:numId w:val="2"/>
        </w:numPr>
        <w:spacing w:line="360" w:lineRule="auto"/>
        <w:rPr>
          <w:rFonts w:asciiTheme="minorHAnsi" w:hAnsiTheme="minorHAnsi" w:cstheme="minorHAnsi"/>
          <w:szCs w:val="24"/>
        </w:rPr>
      </w:pPr>
      <w:r w:rsidRPr="00452C89">
        <w:rPr>
          <w:rFonts w:asciiTheme="minorHAnsi" w:hAnsiTheme="minorHAnsi" w:cstheme="minorHAnsi"/>
          <w:szCs w:val="24"/>
        </w:rPr>
        <w:t>A formalização da contratação fica condicionada à regularização da documentação comprobatória de regularidade fiscal e trabalhista, nos termos dos incisos anteriores, sob pena de decadência do direito à contratação, sem prejuízo da aplicação das sanções legais, sendo facultado à Administração convocar as licitantes remanescentes e com elas contratar, observada a ordem de classificação, ou revogar a licitação.</w:t>
      </w:r>
    </w:p>
    <w:p w14:paraId="14A3561B" w14:textId="77777777" w:rsidR="008137E2" w:rsidRPr="00452C89" w:rsidRDefault="008137E2" w:rsidP="009B7D58">
      <w:pPr>
        <w:pStyle w:val="N111"/>
        <w:numPr>
          <w:ilvl w:val="1"/>
          <w:numId w:val="2"/>
        </w:numPr>
        <w:spacing w:line="360" w:lineRule="auto"/>
        <w:rPr>
          <w:rFonts w:asciiTheme="minorHAnsi" w:hAnsiTheme="minorHAnsi" w:cstheme="minorHAnsi"/>
          <w:szCs w:val="24"/>
        </w:rPr>
      </w:pPr>
      <w:bookmarkStart w:id="0" w:name="_Hlk175055740"/>
      <w:r w:rsidRPr="00452C89">
        <w:rPr>
          <w:rFonts w:asciiTheme="minorHAnsi" w:hAnsiTheme="minorHAnsi" w:cstheme="minorHAnsi"/>
          <w:szCs w:val="24"/>
        </w:rPr>
        <w:t>Qualificação Econômico-Financeira</w:t>
      </w:r>
    </w:p>
    <w:p w14:paraId="592B0646" w14:textId="77777777" w:rsidR="008137E2" w:rsidRPr="00452C89" w:rsidRDefault="008137E2" w:rsidP="009B7D58">
      <w:pPr>
        <w:pStyle w:val="PargrafodaLista"/>
        <w:numPr>
          <w:ilvl w:val="0"/>
          <w:numId w:val="4"/>
        </w:numPr>
        <w:spacing w:line="360" w:lineRule="auto"/>
        <w:contextualSpacing w:val="0"/>
        <w:rPr>
          <w:rFonts w:asciiTheme="minorHAnsi" w:hAnsiTheme="minorHAnsi" w:cstheme="minorHAnsi"/>
          <w:vanish/>
          <w:szCs w:val="24"/>
        </w:rPr>
      </w:pPr>
    </w:p>
    <w:p w14:paraId="629C9BAC" w14:textId="77777777" w:rsidR="008137E2" w:rsidRPr="00452C89" w:rsidRDefault="008137E2" w:rsidP="009B7D58">
      <w:pPr>
        <w:pStyle w:val="PargrafodaLista"/>
        <w:numPr>
          <w:ilvl w:val="1"/>
          <w:numId w:val="4"/>
        </w:numPr>
        <w:spacing w:line="360" w:lineRule="auto"/>
        <w:contextualSpacing w:val="0"/>
        <w:rPr>
          <w:rFonts w:asciiTheme="minorHAnsi" w:hAnsiTheme="minorHAnsi" w:cstheme="minorHAnsi"/>
          <w:vanish/>
          <w:szCs w:val="24"/>
        </w:rPr>
      </w:pPr>
    </w:p>
    <w:p w14:paraId="2D0CF312" w14:textId="77777777" w:rsidR="008137E2" w:rsidRPr="00452C89" w:rsidRDefault="008137E2" w:rsidP="009B7D58">
      <w:pPr>
        <w:pStyle w:val="PargrafodaLista"/>
        <w:numPr>
          <w:ilvl w:val="1"/>
          <w:numId w:val="4"/>
        </w:numPr>
        <w:spacing w:line="360" w:lineRule="auto"/>
        <w:contextualSpacing w:val="0"/>
        <w:rPr>
          <w:rFonts w:asciiTheme="minorHAnsi" w:hAnsiTheme="minorHAnsi" w:cstheme="minorHAnsi"/>
          <w:vanish/>
          <w:szCs w:val="24"/>
        </w:rPr>
      </w:pPr>
    </w:p>
    <w:p w14:paraId="64D5CE5B" w14:textId="77777777" w:rsidR="008137E2" w:rsidRPr="00452C89" w:rsidRDefault="008137E2" w:rsidP="009B7D58">
      <w:pPr>
        <w:pStyle w:val="PargrafodaLista"/>
        <w:numPr>
          <w:ilvl w:val="1"/>
          <w:numId w:val="4"/>
        </w:numPr>
        <w:spacing w:line="360" w:lineRule="auto"/>
        <w:contextualSpacing w:val="0"/>
        <w:rPr>
          <w:rFonts w:asciiTheme="minorHAnsi" w:hAnsiTheme="minorHAnsi" w:cstheme="minorHAnsi"/>
          <w:vanish/>
          <w:szCs w:val="24"/>
        </w:rPr>
      </w:pPr>
    </w:p>
    <w:p w14:paraId="795A6A92"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 xml:space="preserve">Certidão negativa de insolvência civil expedida pelo distribuidor do domicílio ou sede do licitante, caso se trate de pessoa física, desde que admitida a sua participação na licitação, ou de sociedade simples; </w:t>
      </w:r>
    </w:p>
    <w:p w14:paraId="1CB76A5D"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 xml:space="preserve">Certidão negativa de falência expedida pelo distribuidor da sede do fornecedor - </w:t>
      </w:r>
      <w:hyperlink r:id="rId7" w:anchor="art69">
        <w:r w:rsidRPr="00452C89">
          <w:rPr>
            <w:rFonts w:asciiTheme="minorHAnsi" w:hAnsiTheme="minorHAnsi" w:cstheme="minorHAnsi"/>
            <w:szCs w:val="24"/>
          </w:rPr>
          <w:t>Lei nº 14.133/2021, art. 69, caput, e inciso II</w:t>
        </w:r>
      </w:hyperlink>
      <w:r w:rsidRPr="00452C89">
        <w:rPr>
          <w:rFonts w:asciiTheme="minorHAnsi" w:hAnsiTheme="minorHAnsi" w:cstheme="minorHAnsi"/>
          <w:szCs w:val="24"/>
        </w:rPr>
        <w:t xml:space="preserve">) </w:t>
      </w:r>
      <w:r w:rsidRPr="00452C89">
        <w:rPr>
          <w:rFonts w:asciiTheme="minorHAnsi" w:eastAsia="Times New Roman" w:hAnsiTheme="minorHAnsi" w:cstheme="minorHAnsi"/>
          <w:szCs w:val="24"/>
          <w:lang w:eastAsia="pt-BR"/>
        </w:rPr>
        <w:t xml:space="preserve">ou certidão emitida pela instância judicial </w:t>
      </w:r>
      <w:r w:rsidRPr="00452C89">
        <w:rPr>
          <w:rFonts w:asciiTheme="minorHAnsi" w:eastAsia="Times New Roman" w:hAnsiTheme="minorHAnsi" w:cstheme="minorHAnsi"/>
          <w:szCs w:val="24"/>
          <w:lang w:eastAsia="pt-BR"/>
        </w:rPr>
        <w:lastRenderedPageBreak/>
        <w:t>competente, que certifique que a interessada está apta econômica e financeiramente a participar do procedimento licitatório, conforme Acórdão de Relação TCU 8271/2011-Segunda Câmara</w:t>
      </w:r>
      <w:r w:rsidRPr="00452C89">
        <w:rPr>
          <w:rFonts w:asciiTheme="minorHAnsi" w:hAnsiTheme="minorHAnsi" w:cstheme="minorHAnsi"/>
          <w:szCs w:val="24"/>
        </w:rPr>
        <w:t>;</w:t>
      </w:r>
    </w:p>
    <w:p w14:paraId="4378270F"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Balanço patrimonial, demonstração de resultado de exercício e demais demonstrações contábeis dos 2 (dois) últimos exercícios sociais, comprovando;</w:t>
      </w:r>
    </w:p>
    <w:p w14:paraId="737F49E8"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índices de Liquidez Geral (LG), Liquidez Corrente (LC), e Solvência Geral (SG) superiores a 1 (um);</w:t>
      </w:r>
    </w:p>
    <w:p w14:paraId="754332DA" w14:textId="77777777" w:rsidR="008137E2" w:rsidRPr="00452C89" w:rsidRDefault="008137E2" w:rsidP="009B7D58">
      <w:pPr>
        <w:pStyle w:val="PargrafodaLista"/>
        <w:spacing w:line="360" w:lineRule="auto"/>
        <w:ind w:left="0"/>
        <w:rPr>
          <w:rFonts w:asciiTheme="minorHAnsi" w:eastAsia="Cambria Math" w:hAnsiTheme="minorHAnsi" w:cstheme="minorHAnsi"/>
          <w:szCs w:val="24"/>
        </w:rPr>
      </w:pPr>
      <m:oMathPara>
        <m:oMath>
          <m:r>
            <w:rPr>
              <w:rFonts w:ascii="Cambria Math" w:eastAsia="Cambria Math" w:hAnsi="Cambria Math" w:cstheme="minorHAnsi"/>
              <w:szCs w:val="24"/>
            </w:rPr>
            <m:t xml:space="preserve">ILG= </m:t>
          </m:r>
          <m:f>
            <m:fPr>
              <m:ctrlPr>
                <w:rPr>
                  <w:rFonts w:ascii="Cambria Math" w:eastAsia="Cambria Math" w:hAnsi="Cambria Math" w:cstheme="minorHAnsi"/>
                  <w:szCs w:val="24"/>
                </w:rPr>
              </m:ctrlPr>
            </m:fPr>
            <m:num>
              <m:r>
                <w:rPr>
                  <w:rFonts w:ascii="Cambria Math" w:eastAsia="Cambria Math" w:hAnsi="Cambria Math" w:cstheme="minorHAnsi"/>
                  <w:szCs w:val="24"/>
                </w:rPr>
                <m:t xml:space="preserve">ATIVO CIRCULANTE </m:t>
              </m:r>
              <m:d>
                <m:dPr>
                  <m:ctrlPr>
                    <w:rPr>
                      <w:rFonts w:ascii="Cambria Math" w:eastAsia="Cambria Math" w:hAnsi="Cambria Math" w:cstheme="minorHAnsi"/>
                      <w:szCs w:val="24"/>
                    </w:rPr>
                  </m:ctrlPr>
                </m:dPr>
                <m:e>
                  <m:r>
                    <w:rPr>
                      <w:rFonts w:ascii="Cambria Math" w:eastAsia="Cambria Math" w:hAnsi="Cambria Math" w:cstheme="minorHAnsi"/>
                      <w:szCs w:val="24"/>
                    </w:rPr>
                    <m:t>AC</m:t>
                  </m:r>
                </m:e>
              </m:d>
              <m:r>
                <w:rPr>
                  <w:rFonts w:ascii="Cambria Math" w:eastAsia="Cambria Math" w:hAnsi="Cambria Math" w:cstheme="minorHAnsi"/>
                  <w:szCs w:val="24"/>
                </w:rPr>
                <m:t>+REALIZÁVEL A LONGO PRAZO (RLP)</m:t>
              </m:r>
            </m:num>
            <m:den>
              <m:r>
                <w:rPr>
                  <w:rFonts w:ascii="Cambria Math" w:eastAsia="Cambria Math" w:hAnsi="Cambria Math" w:cstheme="minorHAnsi"/>
                  <w:szCs w:val="24"/>
                </w:rPr>
                <m:t xml:space="preserve">PASSIVO CIRCULANTE </m:t>
              </m:r>
              <m:d>
                <m:dPr>
                  <m:ctrlPr>
                    <w:rPr>
                      <w:rFonts w:ascii="Cambria Math" w:eastAsia="Cambria Math" w:hAnsi="Cambria Math" w:cstheme="minorHAnsi"/>
                      <w:szCs w:val="24"/>
                    </w:rPr>
                  </m:ctrlPr>
                </m:dPr>
                <m:e>
                  <m:r>
                    <w:rPr>
                      <w:rFonts w:ascii="Cambria Math" w:eastAsia="Cambria Math" w:hAnsi="Cambria Math" w:cstheme="minorHAnsi"/>
                      <w:szCs w:val="24"/>
                    </w:rPr>
                    <m:t>PC</m:t>
                  </m:r>
                </m:e>
              </m:d>
              <m:r>
                <w:rPr>
                  <w:rFonts w:ascii="Cambria Math" w:eastAsia="Cambria Math" w:hAnsi="Cambria Math" w:cstheme="minorHAnsi"/>
                  <w:szCs w:val="24"/>
                </w:rPr>
                <m:t>+PASSIVO NÃO CIRCULANTE (PNC)</m:t>
              </m:r>
            </m:den>
          </m:f>
        </m:oMath>
      </m:oMathPara>
    </w:p>
    <w:p w14:paraId="2E02D2DA" w14:textId="77777777" w:rsidR="008137E2" w:rsidRPr="00452C89" w:rsidRDefault="008137E2" w:rsidP="009B7D58">
      <w:pPr>
        <w:pStyle w:val="PargrafodaLista"/>
        <w:spacing w:line="360" w:lineRule="auto"/>
        <w:ind w:left="0"/>
        <w:rPr>
          <w:rFonts w:asciiTheme="minorHAnsi" w:eastAsia="Cambria Math" w:hAnsiTheme="minorHAnsi" w:cstheme="minorHAnsi"/>
          <w:szCs w:val="24"/>
        </w:rPr>
      </w:pPr>
    </w:p>
    <w:p w14:paraId="3D5FC033" w14:textId="77777777" w:rsidR="008137E2" w:rsidRPr="00452C89" w:rsidRDefault="008137E2" w:rsidP="009B7D58">
      <w:pPr>
        <w:pStyle w:val="PargrafodaLista"/>
        <w:spacing w:line="360" w:lineRule="auto"/>
        <w:ind w:left="0"/>
        <w:rPr>
          <w:rFonts w:asciiTheme="minorHAnsi" w:eastAsia="Arial" w:hAnsiTheme="minorHAnsi" w:cstheme="minorHAnsi"/>
          <w:szCs w:val="24"/>
        </w:rPr>
      </w:pPr>
    </w:p>
    <w:p w14:paraId="1D5D378D" w14:textId="77777777" w:rsidR="008137E2" w:rsidRPr="00452C89" w:rsidRDefault="008137E2" w:rsidP="009B7D58">
      <w:pPr>
        <w:pStyle w:val="PargrafodaLista"/>
        <w:spacing w:line="360" w:lineRule="auto"/>
        <w:ind w:left="0"/>
        <w:rPr>
          <w:rFonts w:asciiTheme="minorHAnsi" w:eastAsia="Cambria Math" w:hAnsiTheme="minorHAnsi" w:cstheme="minorHAnsi"/>
          <w:szCs w:val="24"/>
        </w:rPr>
      </w:pPr>
      <m:oMathPara>
        <m:oMath>
          <m:r>
            <w:rPr>
              <w:rFonts w:ascii="Cambria Math" w:eastAsia="Cambria Math" w:hAnsi="Cambria Math" w:cstheme="minorHAnsi"/>
              <w:szCs w:val="24"/>
            </w:rPr>
            <m:t xml:space="preserve">ISG=  </m:t>
          </m:r>
          <m:f>
            <m:fPr>
              <m:ctrlPr>
                <w:rPr>
                  <w:rFonts w:ascii="Cambria Math" w:eastAsia="Cambria Math" w:hAnsi="Cambria Math" w:cstheme="minorHAnsi"/>
                  <w:szCs w:val="24"/>
                </w:rPr>
              </m:ctrlPr>
            </m:fPr>
            <m:num>
              <m:r>
                <w:rPr>
                  <w:rFonts w:ascii="Cambria Math" w:eastAsia="Cambria Math" w:hAnsi="Cambria Math" w:cstheme="minorHAnsi"/>
                  <w:szCs w:val="24"/>
                </w:rPr>
                <m:t>ATIVO TOTAL (AT)</m:t>
              </m:r>
            </m:num>
            <m:den>
              <m:r>
                <w:rPr>
                  <w:rFonts w:ascii="Cambria Math" w:eastAsia="Cambria Math" w:hAnsi="Cambria Math" w:cstheme="minorHAnsi"/>
                  <w:szCs w:val="24"/>
                </w:rPr>
                <m:t xml:space="preserve">PASSIVO CIRCULANTE </m:t>
              </m:r>
              <m:d>
                <m:dPr>
                  <m:ctrlPr>
                    <w:rPr>
                      <w:rFonts w:ascii="Cambria Math" w:eastAsia="Cambria Math" w:hAnsi="Cambria Math" w:cstheme="minorHAnsi"/>
                      <w:szCs w:val="24"/>
                    </w:rPr>
                  </m:ctrlPr>
                </m:dPr>
                <m:e>
                  <m:r>
                    <w:rPr>
                      <w:rFonts w:ascii="Cambria Math" w:eastAsia="Cambria Math" w:hAnsi="Cambria Math" w:cstheme="minorHAnsi"/>
                      <w:szCs w:val="24"/>
                    </w:rPr>
                    <m:t>PC</m:t>
                  </m:r>
                </m:e>
              </m:d>
              <m:r>
                <w:rPr>
                  <w:rFonts w:ascii="Cambria Math" w:eastAsia="Cambria Math" w:hAnsi="Cambria Math" w:cstheme="minorHAnsi"/>
                  <w:szCs w:val="24"/>
                </w:rPr>
                <m:t>+PASSIVO NÃO CIRCULANTE  (PNC)</m:t>
              </m:r>
            </m:den>
          </m:f>
        </m:oMath>
      </m:oMathPara>
    </w:p>
    <w:p w14:paraId="1C28D997" w14:textId="77777777" w:rsidR="008137E2" w:rsidRPr="00452C89" w:rsidRDefault="008137E2" w:rsidP="009B7D58">
      <w:pPr>
        <w:pStyle w:val="PargrafodaLista"/>
        <w:spacing w:line="360" w:lineRule="auto"/>
        <w:ind w:left="0"/>
        <w:rPr>
          <w:rFonts w:asciiTheme="minorHAnsi" w:eastAsia="Cambria Math" w:hAnsiTheme="minorHAnsi" w:cstheme="minorHAnsi"/>
          <w:szCs w:val="24"/>
        </w:rPr>
      </w:pPr>
    </w:p>
    <w:p w14:paraId="663046A0" w14:textId="77777777" w:rsidR="008137E2" w:rsidRPr="00452C89" w:rsidRDefault="008137E2" w:rsidP="009B7D58">
      <w:pPr>
        <w:pStyle w:val="PargrafodaLista"/>
        <w:spacing w:line="360" w:lineRule="auto"/>
        <w:ind w:left="0"/>
        <w:rPr>
          <w:rFonts w:asciiTheme="minorHAnsi" w:eastAsia="Arial" w:hAnsiTheme="minorHAnsi" w:cstheme="minorHAnsi"/>
          <w:szCs w:val="24"/>
        </w:rPr>
      </w:pPr>
    </w:p>
    <w:p w14:paraId="651260FB" w14:textId="77777777" w:rsidR="008137E2" w:rsidRPr="00452C89" w:rsidRDefault="008137E2" w:rsidP="009B7D58">
      <w:pPr>
        <w:pStyle w:val="PargrafodaLista"/>
        <w:spacing w:line="360" w:lineRule="auto"/>
        <w:ind w:left="0"/>
        <w:rPr>
          <w:rFonts w:asciiTheme="minorHAnsi" w:eastAsia="Cambria Math" w:hAnsiTheme="minorHAnsi" w:cstheme="minorHAnsi"/>
          <w:szCs w:val="24"/>
        </w:rPr>
      </w:pPr>
      <m:oMathPara>
        <m:oMath>
          <m:r>
            <w:rPr>
              <w:rFonts w:ascii="Cambria Math" w:eastAsia="Cambria Math" w:hAnsi="Cambria Math" w:cstheme="minorHAnsi"/>
              <w:szCs w:val="24"/>
            </w:rPr>
            <m:t xml:space="preserve">ILC = </m:t>
          </m:r>
          <m:f>
            <m:fPr>
              <m:ctrlPr>
                <w:rPr>
                  <w:rFonts w:ascii="Cambria Math" w:eastAsia="Cambria Math" w:hAnsi="Cambria Math" w:cstheme="minorHAnsi"/>
                  <w:szCs w:val="24"/>
                </w:rPr>
              </m:ctrlPr>
            </m:fPr>
            <m:num>
              <m:r>
                <w:rPr>
                  <w:rFonts w:ascii="Cambria Math" w:eastAsia="Cambria Math" w:hAnsi="Cambria Math" w:cstheme="minorHAnsi"/>
                  <w:szCs w:val="24"/>
                </w:rPr>
                <m:t>ATIVO CIRCULANTE (AC)</m:t>
              </m:r>
            </m:num>
            <m:den>
              <m:r>
                <w:rPr>
                  <w:rFonts w:ascii="Cambria Math" w:eastAsia="Cambria Math" w:hAnsi="Cambria Math" w:cstheme="minorHAnsi"/>
                  <w:szCs w:val="24"/>
                </w:rPr>
                <m:t>PASSIVO CIRCULANTE (PC)</m:t>
              </m:r>
            </m:den>
          </m:f>
        </m:oMath>
      </m:oMathPara>
    </w:p>
    <w:p w14:paraId="0D1F7CDD"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As empresas criadas no exercício financeiro da licitação deverão atender a todas as exigências da habilitação e poderão substituir os demonstrativos contábeis pelo balanço de abertura.</w:t>
      </w:r>
    </w:p>
    <w:p w14:paraId="0C05F18C"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Os documentos referidos acima limitar-se-ão ao último exercício no caso de a pessoa jurídica ter sido constituída há menos de 2 (dois) anos;</w:t>
      </w:r>
    </w:p>
    <w:p w14:paraId="5B10315E"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 xml:space="preserve">Os documentos referidos acima deverão ser exigidos com base no limite definido pela Receita Federal do Brasil para transmissão da Escrituração Contábil Digital - ECD ao </w:t>
      </w:r>
      <w:proofErr w:type="spellStart"/>
      <w:r w:rsidRPr="00452C89">
        <w:rPr>
          <w:rFonts w:asciiTheme="minorHAnsi" w:hAnsiTheme="minorHAnsi" w:cstheme="minorHAnsi"/>
          <w:szCs w:val="24"/>
        </w:rPr>
        <w:t>Sped</w:t>
      </w:r>
      <w:proofErr w:type="spellEnd"/>
      <w:r w:rsidRPr="00452C89">
        <w:rPr>
          <w:rFonts w:asciiTheme="minorHAnsi" w:hAnsiTheme="minorHAnsi" w:cstheme="minorHAnsi"/>
          <w:szCs w:val="24"/>
        </w:rPr>
        <w:t>.</w:t>
      </w:r>
    </w:p>
    <w:p w14:paraId="1742D51E"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Caso a empresa licitante apresente resultado inferior ou igual a 1 (um) em qualquer dos índices de Liquidez Geral (LG), Solvência Geral (SG) e Liquidez Corrente (LC), será exigido para fins de habilitação patrimônio líquido mínimo de 10% do valor total estimado da contratação.</w:t>
      </w:r>
    </w:p>
    <w:p w14:paraId="79F69DF0"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lastRenderedPageBreak/>
        <w:t>As empresas criadas no exercício financeiro da licitação deverão atender a todas as exigências da habilitação e poderão substituir os demonstrativos contábeis pelo balanço de abertura (Lei nº 14.133/2021, art. 65, §1º).</w:t>
      </w:r>
    </w:p>
    <w:p w14:paraId="0515E951"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O atendimento dos índices econômicos previstos neste item deverá ser atestado mediante declaração assinada por profissional habilitado da área contábil, apresentada pelo fornecedor.</w:t>
      </w:r>
    </w:p>
    <w:bookmarkEnd w:id="0"/>
    <w:p w14:paraId="34A475E9" w14:textId="77777777" w:rsidR="008137E2" w:rsidRPr="00452C89" w:rsidRDefault="008137E2" w:rsidP="009B7D58">
      <w:pPr>
        <w:pStyle w:val="N111"/>
        <w:numPr>
          <w:ilvl w:val="1"/>
          <w:numId w:val="4"/>
        </w:numPr>
        <w:spacing w:line="360" w:lineRule="auto"/>
        <w:rPr>
          <w:rFonts w:asciiTheme="minorHAnsi" w:hAnsiTheme="minorHAnsi" w:cstheme="minorHAnsi"/>
          <w:szCs w:val="24"/>
        </w:rPr>
      </w:pPr>
      <w:r w:rsidRPr="00452C89">
        <w:rPr>
          <w:rFonts w:asciiTheme="minorHAnsi" w:hAnsiTheme="minorHAnsi" w:cstheme="minorHAnsi"/>
          <w:szCs w:val="24"/>
        </w:rPr>
        <w:t>Qualificação Técnica</w:t>
      </w:r>
    </w:p>
    <w:p w14:paraId="244C28F0" w14:textId="77777777" w:rsidR="008137E2" w:rsidRPr="00452C89" w:rsidRDefault="008137E2"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CAPACIDADE TÉCNICO-OPERACIONAL:</w:t>
      </w:r>
    </w:p>
    <w:p w14:paraId="18CB48FF" w14:textId="77777777" w:rsidR="008137E2" w:rsidRPr="00452C89" w:rsidRDefault="008137E2" w:rsidP="009B7D58">
      <w:pPr>
        <w:pStyle w:val="PargrafodaLista"/>
        <w:numPr>
          <w:ilvl w:val="0"/>
          <w:numId w:val="6"/>
        </w:numPr>
        <w:spacing w:line="360" w:lineRule="auto"/>
        <w:contextualSpacing w:val="0"/>
        <w:rPr>
          <w:rFonts w:asciiTheme="minorHAnsi" w:hAnsiTheme="minorHAnsi" w:cstheme="minorHAnsi"/>
          <w:vanish/>
          <w:szCs w:val="24"/>
        </w:rPr>
      </w:pPr>
    </w:p>
    <w:p w14:paraId="49BC0EE4" w14:textId="77777777" w:rsidR="008137E2" w:rsidRPr="00452C89" w:rsidRDefault="008137E2" w:rsidP="009B7D58">
      <w:pPr>
        <w:pStyle w:val="PargrafodaLista"/>
        <w:numPr>
          <w:ilvl w:val="1"/>
          <w:numId w:val="6"/>
        </w:numPr>
        <w:spacing w:line="360" w:lineRule="auto"/>
        <w:contextualSpacing w:val="0"/>
        <w:rPr>
          <w:rFonts w:asciiTheme="minorHAnsi" w:hAnsiTheme="minorHAnsi" w:cstheme="minorHAnsi"/>
          <w:vanish/>
          <w:szCs w:val="24"/>
        </w:rPr>
      </w:pPr>
    </w:p>
    <w:p w14:paraId="4E9419C4" w14:textId="77777777" w:rsidR="008137E2" w:rsidRPr="00452C89" w:rsidRDefault="008137E2" w:rsidP="009B7D58">
      <w:pPr>
        <w:pStyle w:val="PargrafodaLista"/>
        <w:numPr>
          <w:ilvl w:val="1"/>
          <w:numId w:val="6"/>
        </w:numPr>
        <w:spacing w:line="360" w:lineRule="auto"/>
        <w:contextualSpacing w:val="0"/>
        <w:rPr>
          <w:rFonts w:asciiTheme="minorHAnsi" w:hAnsiTheme="minorHAnsi" w:cstheme="minorHAnsi"/>
          <w:vanish/>
          <w:szCs w:val="24"/>
        </w:rPr>
      </w:pPr>
    </w:p>
    <w:p w14:paraId="22AD6559" w14:textId="77777777" w:rsidR="008137E2" w:rsidRPr="00452C89" w:rsidRDefault="008137E2" w:rsidP="009B7D58">
      <w:pPr>
        <w:pStyle w:val="PargrafodaLista"/>
        <w:numPr>
          <w:ilvl w:val="1"/>
          <w:numId w:val="6"/>
        </w:numPr>
        <w:spacing w:line="360" w:lineRule="auto"/>
        <w:contextualSpacing w:val="0"/>
        <w:rPr>
          <w:rFonts w:asciiTheme="minorHAnsi" w:hAnsiTheme="minorHAnsi" w:cstheme="minorHAnsi"/>
          <w:vanish/>
          <w:szCs w:val="24"/>
        </w:rPr>
      </w:pPr>
    </w:p>
    <w:p w14:paraId="7115C572" w14:textId="77777777" w:rsidR="008137E2" w:rsidRPr="00452C89" w:rsidRDefault="008137E2" w:rsidP="009B7D58">
      <w:pPr>
        <w:pStyle w:val="PargrafodaLista"/>
        <w:numPr>
          <w:ilvl w:val="1"/>
          <w:numId w:val="6"/>
        </w:numPr>
        <w:spacing w:line="360" w:lineRule="auto"/>
        <w:contextualSpacing w:val="0"/>
        <w:rPr>
          <w:rFonts w:asciiTheme="minorHAnsi" w:hAnsiTheme="minorHAnsi" w:cstheme="minorHAnsi"/>
          <w:vanish/>
          <w:szCs w:val="24"/>
        </w:rPr>
      </w:pPr>
    </w:p>
    <w:p w14:paraId="6B449681" w14:textId="77777777" w:rsidR="008137E2" w:rsidRPr="00452C89" w:rsidRDefault="008137E2" w:rsidP="009B7D58">
      <w:pPr>
        <w:pStyle w:val="PargrafodaLista"/>
        <w:numPr>
          <w:ilvl w:val="2"/>
          <w:numId w:val="6"/>
        </w:numPr>
        <w:spacing w:line="360" w:lineRule="auto"/>
        <w:contextualSpacing w:val="0"/>
        <w:rPr>
          <w:rFonts w:asciiTheme="minorHAnsi" w:hAnsiTheme="minorHAnsi" w:cstheme="minorHAnsi"/>
          <w:vanish/>
          <w:szCs w:val="24"/>
        </w:rPr>
      </w:pPr>
    </w:p>
    <w:p w14:paraId="414EC8E0" w14:textId="345D6317" w:rsidR="008137E2" w:rsidRDefault="00E069E5" w:rsidP="009B7D58">
      <w:pPr>
        <w:pStyle w:val="N111"/>
        <w:numPr>
          <w:ilvl w:val="3"/>
          <w:numId w:val="6"/>
        </w:numPr>
        <w:spacing w:line="360" w:lineRule="auto"/>
        <w:rPr>
          <w:rFonts w:asciiTheme="minorHAnsi" w:hAnsiTheme="minorHAnsi" w:cstheme="minorHAnsi"/>
          <w:szCs w:val="24"/>
        </w:rPr>
      </w:pPr>
      <w:r w:rsidRPr="00452C89">
        <w:rPr>
          <w:rFonts w:asciiTheme="minorHAnsi" w:hAnsiTheme="minorHAnsi" w:cstheme="minorHAnsi"/>
          <w:szCs w:val="24"/>
        </w:rPr>
        <w:t>Certidão do registro no CRN, expedida para a empresa licitante, pelo Conselho da Região de onde desenvolve suas atividades (matriz), com indicação dos respectivos responsáveis técnicos, devidamente habilitados para o desempenho do objeto desta contratação, dentro do prazo de validade.</w:t>
      </w:r>
    </w:p>
    <w:p w14:paraId="7DAF36C1" w14:textId="2367A144" w:rsidR="00B1510A" w:rsidRPr="00452C89" w:rsidRDefault="00B1510A" w:rsidP="009B7D58">
      <w:pPr>
        <w:pStyle w:val="N111"/>
        <w:numPr>
          <w:ilvl w:val="3"/>
          <w:numId w:val="6"/>
        </w:numPr>
        <w:spacing w:line="360" w:lineRule="auto"/>
        <w:rPr>
          <w:rFonts w:asciiTheme="minorHAnsi" w:hAnsiTheme="minorHAnsi" w:cstheme="minorHAnsi"/>
          <w:szCs w:val="24"/>
        </w:rPr>
      </w:pPr>
      <w:r w:rsidRPr="00452C89">
        <w:rPr>
          <w:rFonts w:asciiTheme="minorHAnsi" w:hAnsiTheme="minorHAnsi" w:cstheme="minorHAnsi"/>
          <w:szCs w:val="24"/>
        </w:rPr>
        <w:t>Apresentação de atestado de aptidão da empresa licitante para execução de serviços compatíveis com o objeto desta contratação em características, quantidades e prazo que permitam o ajuizamento da capacidade de atendimento, fornecidos por pessoa jurídica de direito público ou privado. Considerar-se-á para fins de reconhecimento da compatibilidade referida neste item</w:t>
      </w:r>
      <w:r>
        <w:rPr>
          <w:rFonts w:asciiTheme="minorHAnsi" w:hAnsiTheme="minorHAnsi" w:cstheme="minorHAnsi"/>
          <w:szCs w:val="24"/>
        </w:rPr>
        <w:t>:</w:t>
      </w:r>
    </w:p>
    <w:p w14:paraId="07D570F7" w14:textId="77777777" w:rsidR="008137E2" w:rsidRPr="00452C89" w:rsidRDefault="008137E2" w:rsidP="009B7D58">
      <w:pPr>
        <w:pStyle w:val="PargrafodaLista"/>
        <w:numPr>
          <w:ilvl w:val="0"/>
          <w:numId w:val="5"/>
        </w:numPr>
        <w:spacing w:before="0" w:after="200" w:line="360" w:lineRule="auto"/>
        <w:rPr>
          <w:rFonts w:asciiTheme="minorHAnsi" w:hAnsiTheme="minorHAnsi" w:cstheme="minorHAnsi"/>
          <w:vanish/>
          <w:szCs w:val="24"/>
        </w:rPr>
      </w:pPr>
    </w:p>
    <w:p w14:paraId="225B7140" w14:textId="77777777" w:rsidR="008137E2" w:rsidRPr="00452C89" w:rsidRDefault="008137E2" w:rsidP="009B7D58">
      <w:pPr>
        <w:pStyle w:val="PargrafodaLista"/>
        <w:numPr>
          <w:ilvl w:val="1"/>
          <w:numId w:val="5"/>
        </w:numPr>
        <w:spacing w:before="0" w:after="200" w:line="360" w:lineRule="auto"/>
        <w:rPr>
          <w:rFonts w:asciiTheme="minorHAnsi" w:hAnsiTheme="minorHAnsi" w:cstheme="minorHAnsi"/>
          <w:vanish/>
          <w:szCs w:val="24"/>
        </w:rPr>
      </w:pPr>
    </w:p>
    <w:p w14:paraId="29145C99" w14:textId="77777777" w:rsidR="008137E2" w:rsidRPr="00452C89" w:rsidRDefault="008137E2" w:rsidP="009B7D58">
      <w:pPr>
        <w:pStyle w:val="PargrafodaLista"/>
        <w:numPr>
          <w:ilvl w:val="1"/>
          <w:numId w:val="5"/>
        </w:numPr>
        <w:spacing w:before="0" w:after="200" w:line="360" w:lineRule="auto"/>
        <w:rPr>
          <w:rFonts w:asciiTheme="minorHAnsi" w:hAnsiTheme="minorHAnsi" w:cstheme="minorHAnsi"/>
          <w:vanish/>
          <w:szCs w:val="24"/>
        </w:rPr>
      </w:pPr>
    </w:p>
    <w:p w14:paraId="0D3123D7" w14:textId="77777777" w:rsidR="008137E2" w:rsidRPr="00452C89" w:rsidRDefault="008137E2" w:rsidP="009B7D58">
      <w:pPr>
        <w:pStyle w:val="PargrafodaLista"/>
        <w:numPr>
          <w:ilvl w:val="2"/>
          <w:numId w:val="5"/>
        </w:numPr>
        <w:spacing w:before="0" w:after="200" w:line="360" w:lineRule="auto"/>
        <w:rPr>
          <w:rFonts w:asciiTheme="minorHAnsi" w:hAnsiTheme="minorHAnsi" w:cstheme="minorHAnsi"/>
          <w:vanish/>
          <w:szCs w:val="24"/>
        </w:rPr>
      </w:pPr>
    </w:p>
    <w:p w14:paraId="3138A2CF" w14:textId="77777777" w:rsidR="008137E2" w:rsidRPr="00452C89" w:rsidRDefault="008137E2" w:rsidP="009B7D58">
      <w:pPr>
        <w:pStyle w:val="PargrafodaLista"/>
        <w:numPr>
          <w:ilvl w:val="3"/>
          <w:numId w:val="5"/>
        </w:numPr>
        <w:spacing w:before="0" w:after="200" w:line="360" w:lineRule="auto"/>
        <w:rPr>
          <w:rFonts w:asciiTheme="minorHAnsi" w:hAnsiTheme="minorHAnsi" w:cstheme="minorHAnsi"/>
          <w:vanish/>
          <w:szCs w:val="24"/>
        </w:rPr>
      </w:pPr>
    </w:p>
    <w:p w14:paraId="64CA9F69" w14:textId="77777777" w:rsidR="008137E2" w:rsidRPr="00452C89" w:rsidRDefault="008137E2" w:rsidP="009B7D58">
      <w:pPr>
        <w:pStyle w:val="PargrafodaLista"/>
        <w:numPr>
          <w:ilvl w:val="3"/>
          <w:numId w:val="5"/>
        </w:numPr>
        <w:spacing w:before="0" w:after="200" w:line="360" w:lineRule="auto"/>
        <w:rPr>
          <w:rFonts w:asciiTheme="minorHAnsi" w:hAnsiTheme="minorHAnsi" w:cstheme="minorHAnsi"/>
          <w:vanish/>
          <w:szCs w:val="24"/>
        </w:rPr>
      </w:pPr>
    </w:p>
    <w:p w14:paraId="1200C11F" w14:textId="77777777" w:rsidR="009B2468" w:rsidRPr="00452C89"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452C89">
        <w:rPr>
          <w:rFonts w:asciiTheme="minorHAnsi" w:eastAsia="TimesNewRomanPSMT" w:hAnsiTheme="minorHAnsi" w:cstheme="minorHAnsi"/>
          <w:szCs w:val="24"/>
        </w:rPr>
        <w:t>Quantitativos: A comprovação da capacidade técnica com execução de fornecimento de 50% do número de atendimentos/dia com alimentação de cada lote, integrante desta contratação, sendo:</w:t>
      </w:r>
    </w:p>
    <w:tbl>
      <w:tblPr>
        <w:tblW w:w="4333" w:type="dxa"/>
        <w:jc w:val="center"/>
        <w:tblCellMar>
          <w:left w:w="70" w:type="dxa"/>
          <w:right w:w="70" w:type="dxa"/>
        </w:tblCellMar>
        <w:tblLook w:val="04A0" w:firstRow="1" w:lastRow="0" w:firstColumn="1" w:lastColumn="0" w:noHBand="0" w:noVBand="1"/>
      </w:tblPr>
      <w:tblGrid>
        <w:gridCol w:w="1121"/>
        <w:gridCol w:w="2085"/>
        <w:gridCol w:w="1127"/>
      </w:tblGrid>
      <w:tr w:rsidR="009B2468" w:rsidRPr="00452C89" w14:paraId="66708565" w14:textId="77777777" w:rsidTr="009B2468">
        <w:trPr>
          <w:trHeight w:val="288"/>
          <w:jc w:val="center"/>
        </w:trPr>
        <w:tc>
          <w:tcPr>
            <w:tcW w:w="1121"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1FD8373" w14:textId="77777777" w:rsidR="009B2468" w:rsidRPr="00452C89" w:rsidRDefault="009B2468" w:rsidP="009B7D58">
            <w:pPr>
              <w:spacing w:line="360" w:lineRule="auto"/>
              <w:jc w:val="both"/>
              <w:rPr>
                <w:rFonts w:cstheme="minorHAnsi"/>
                <w:b/>
                <w:bCs/>
                <w:sz w:val="24"/>
                <w:szCs w:val="24"/>
              </w:rPr>
            </w:pPr>
            <w:r w:rsidRPr="00452C89">
              <w:rPr>
                <w:rFonts w:cstheme="minorHAnsi"/>
                <w:b/>
                <w:bCs/>
                <w:sz w:val="24"/>
                <w:szCs w:val="24"/>
              </w:rPr>
              <w:t>LOTE</w:t>
            </w:r>
          </w:p>
        </w:tc>
        <w:tc>
          <w:tcPr>
            <w:tcW w:w="2085" w:type="dxa"/>
            <w:tcBorders>
              <w:top w:val="single" w:sz="4" w:space="0" w:color="auto"/>
              <w:left w:val="nil"/>
              <w:bottom w:val="single" w:sz="4" w:space="0" w:color="auto"/>
              <w:right w:val="single" w:sz="4" w:space="0" w:color="auto"/>
            </w:tcBorders>
            <w:shd w:val="clear" w:color="auto" w:fill="B4C6E7"/>
            <w:noWrap/>
            <w:vAlign w:val="center"/>
            <w:hideMark/>
          </w:tcPr>
          <w:p w14:paraId="35A8ADAB" w14:textId="77777777" w:rsidR="009B2468" w:rsidRPr="00452C89" w:rsidRDefault="009B2468" w:rsidP="009B7D58">
            <w:pPr>
              <w:spacing w:line="360" w:lineRule="auto"/>
              <w:jc w:val="both"/>
              <w:rPr>
                <w:rFonts w:cstheme="minorHAnsi"/>
                <w:b/>
                <w:bCs/>
                <w:sz w:val="24"/>
                <w:szCs w:val="24"/>
              </w:rPr>
            </w:pPr>
            <w:r w:rsidRPr="00452C89">
              <w:rPr>
                <w:rFonts w:cstheme="minorHAnsi"/>
                <w:b/>
                <w:bCs/>
                <w:sz w:val="24"/>
                <w:szCs w:val="24"/>
              </w:rPr>
              <w:t>ATENDIMENTOS</w:t>
            </w:r>
          </w:p>
        </w:tc>
        <w:tc>
          <w:tcPr>
            <w:tcW w:w="1127" w:type="dxa"/>
            <w:tcBorders>
              <w:top w:val="single" w:sz="4" w:space="0" w:color="auto"/>
              <w:left w:val="nil"/>
              <w:bottom w:val="single" w:sz="4" w:space="0" w:color="auto"/>
              <w:right w:val="single" w:sz="4" w:space="0" w:color="auto"/>
            </w:tcBorders>
            <w:shd w:val="clear" w:color="auto" w:fill="B4C6E7"/>
            <w:noWrap/>
            <w:vAlign w:val="center"/>
            <w:hideMark/>
          </w:tcPr>
          <w:p w14:paraId="231B3943" w14:textId="77777777" w:rsidR="009B2468" w:rsidRPr="00452C89" w:rsidRDefault="009B2468" w:rsidP="009B7D58">
            <w:pPr>
              <w:spacing w:line="360" w:lineRule="auto"/>
              <w:jc w:val="both"/>
              <w:rPr>
                <w:rFonts w:cstheme="minorHAnsi"/>
                <w:b/>
                <w:bCs/>
                <w:sz w:val="24"/>
                <w:szCs w:val="24"/>
              </w:rPr>
            </w:pPr>
            <w:r w:rsidRPr="00452C89">
              <w:rPr>
                <w:rFonts w:cstheme="minorHAnsi"/>
                <w:b/>
                <w:bCs/>
                <w:sz w:val="24"/>
                <w:szCs w:val="24"/>
              </w:rPr>
              <w:t>50%</w:t>
            </w:r>
          </w:p>
        </w:tc>
      </w:tr>
      <w:tr w:rsidR="009B2468" w:rsidRPr="00452C89" w14:paraId="46C4C5D6" w14:textId="77777777" w:rsidTr="009B2468">
        <w:trPr>
          <w:trHeight w:val="288"/>
          <w:jc w:val="center"/>
        </w:trPr>
        <w:tc>
          <w:tcPr>
            <w:tcW w:w="1121" w:type="dxa"/>
            <w:tcBorders>
              <w:top w:val="nil"/>
              <w:left w:val="single" w:sz="4" w:space="0" w:color="auto"/>
              <w:bottom w:val="single" w:sz="4" w:space="0" w:color="auto"/>
              <w:right w:val="single" w:sz="4" w:space="0" w:color="auto"/>
            </w:tcBorders>
            <w:noWrap/>
            <w:vAlign w:val="center"/>
            <w:hideMark/>
          </w:tcPr>
          <w:p w14:paraId="05BA6D87" w14:textId="77777777" w:rsidR="009B2468" w:rsidRPr="00452C89" w:rsidRDefault="009B2468" w:rsidP="009B7D58">
            <w:pPr>
              <w:spacing w:line="360" w:lineRule="auto"/>
              <w:jc w:val="both"/>
              <w:rPr>
                <w:rFonts w:cstheme="minorHAnsi"/>
                <w:b/>
                <w:bCs/>
                <w:sz w:val="24"/>
                <w:szCs w:val="24"/>
              </w:rPr>
            </w:pPr>
            <w:r w:rsidRPr="00452C89">
              <w:rPr>
                <w:rFonts w:cstheme="minorHAnsi"/>
                <w:b/>
                <w:bCs/>
                <w:sz w:val="24"/>
                <w:szCs w:val="24"/>
              </w:rPr>
              <w:t>1</w:t>
            </w:r>
          </w:p>
        </w:tc>
        <w:tc>
          <w:tcPr>
            <w:tcW w:w="2085" w:type="dxa"/>
            <w:tcBorders>
              <w:top w:val="nil"/>
              <w:left w:val="nil"/>
              <w:bottom w:val="single" w:sz="4" w:space="0" w:color="auto"/>
              <w:right w:val="single" w:sz="4" w:space="0" w:color="auto"/>
            </w:tcBorders>
            <w:noWrap/>
            <w:vAlign w:val="center"/>
            <w:hideMark/>
          </w:tcPr>
          <w:p w14:paraId="5C0894DB" w14:textId="77777777" w:rsidR="009B2468" w:rsidRPr="00452C89" w:rsidRDefault="009B2468" w:rsidP="009B7D58">
            <w:pPr>
              <w:spacing w:line="360" w:lineRule="auto"/>
              <w:jc w:val="both"/>
              <w:rPr>
                <w:rFonts w:cstheme="minorHAnsi"/>
                <w:sz w:val="24"/>
                <w:szCs w:val="24"/>
              </w:rPr>
            </w:pPr>
            <w:r w:rsidRPr="00452C89">
              <w:rPr>
                <w:rFonts w:cstheme="minorHAnsi"/>
                <w:sz w:val="24"/>
                <w:szCs w:val="24"/>
              </w:rPr>
              <w:t>21.422</w:t>
            </w:r>
          </w:p>
        </w:tc>
        <w:tc>
          <w:tcPr>
            <w:tcW w:w="1127" w:type="dxa"/>
            <w:tcBorders>
              <w:top w:val="nil"/>
              <w:left w:val="nil"/>
              <w:bottom w:val="single" w:sz="4" w:space="0" w:color="auto"/>
              <w:right w:val="single" w:sz="4" w:space="0" w:color="auto"/>
            </w:tcBorders>
            <w:noWrap/>
            <w:vAlign w:val="center"/>
            <w:hideMark/>
          </w:tcPr>
          <w:p w14:paraId="504373F8" w14:textId="77777777" w:rsidR="009B2468" w:rsidRPr="00452C89" w:rsidRDefault="009B2468" w:rsidP="009B7D58">
            <w:pPr>
              <w:spacing w:line="360" w:lineRule="auto"/>
              <w:jc w:val="both"/>
              <w:rPr>
                <w:rFonts w:cstheme="minorHAnsi"/>
                <w:b/>
                <w:sz w:val="24"/>
                <w:szCs w:val="24"/>
              </w:rPr>
            </w:pPr>
            <w:r w:rsidRPr="00452C89">
              <w:rPr>
                <w:rFonts w:cstheme="minorHAnsi"/>
                <w:b/>
                <w:sz w:val="24"/>
                <w:szCs w:val="24"/>
              </w:rPr>
              <w:t>10.711</w:t>
            </w:r>
          </w:p>
        </w:tc>
      </w:tr>
      <w:tr w:rsidR="009B2468" w:rsidRPr="00452C89" w14:paraId="0F4AEFBB" w14:textId="77777777" w:rsidTr="009B2468">
        <w:trPr>
          <w:trHeight w:val="288"/>
          <w:jc w:val="center"/>
        </w:trPr>
        <w:tc>
          <w:tcPr>
            <w:tcW w:w="1121" w:type="dxa"/>
            <w:tcBorders>
              <w:top w:val="nil"/>
              <w:left w:val="single" w:sz="4" w:space="0" w:color="auto"/>
              <w:bottom w:val="single" w:sz="4" w:space="0" w:color="auto"/>
              <w:right w:val="single" w:sz="4" w:space="0" w:color="auto"/>
            </w:tcBorders>
            <w:noWrap/>
            <w:vAlign w:val="center"/>
            <w:hideMark/>
          </w:tcPr>
          <w:p w14:paraId="05E68D4B" w14:textId="77777777" w:rsidR="009B2468" w:rsidRPr="00452C89" w:rsidRDefault="009B2468" w:rsidP="009B7D58">
            <w:pPr>
              <w:spacing w:line="360" w:lineRule="auto"/>
              <w:jc w:val="both"/>
              <w:rPr>
                <w:rFonts w:cstheme="minorHAnsi"/>
                <w:b/>
                <w:bCs/>
                <w:sz w:val="24"/>
                <w:szCs w:val="24"/>
              </w:rPr>
            </w:pPr>
            <w:r w:rsidRPr="00452C89">
              <w:rPr>
                <w:rFonts w:cstheme="minorHAnsi"/>
                <w:b/>
                <w:bCs/>
                <w:sz w:val="24"/>
                <w:szCs w:val="24"/>
              </w:rPr>
              <w:t>2</w:t>
            </w:r>
          </w:p>
        </w:tc>
        <w:tc>
          <w:tcPr>
            <w:tcW w:w="2085" w:type="dxa"/>
            <w:tcBorders>
              <w:top w:val="nil"/>
              <w:left w:val="nil"/>
              <w:bottom w:val="single" w:sz="4" w:space="0" w:color="auto"/>
              <w:right w:val="single" w:sz="4" w:space="0" w:color="auto"/>
            </w:tcBorders>
            <w:noWrap/>
            <w:vAlign w:val="center"/>
            <w:hideMark/>
          </w:tcPr>
          <w:p w14:paraId="78C734F5" w14:textId="77777777" w:rsidR="009B2468" w:rsidRPr="00452C89" w:rsidRDefault="009B2468" w:rsidP="009B7D58">
            <w:pPr>
              <w:spacing w:line="360" w:lineRule="auto"/>
              <w:jc w:val="both"/>
              <w:rPr>
                <w:rFonts w:cstheme="minorHAnsi"/>
                <w:sz w:val="24"/>
                <w:szCs w:val="24"/>
              </w:rPr>
            </w:pPr>
            <w:r w:rsidRPr="00452C89">
              <w:rPr>
                <w:rFonts w:cstheme="minorHAnsi"/>
                <w:sz w:val="24"/>
                <w:szCs w:val="24"/>
              </w:rPr>
              <w:t>25.773</w:t>
            </w:r>
          </w:p>
        </w:tc>
        <w:tc>
          <w:tcPr>
            <w:tcW w:w="1127" w:type="dxa"/>
            <w:tcBorders>
              <w:top w:val="nil"/>
              <w:left w:val="nil"/>
              <w:bottom w:val="single" w:sz="4" w:space="0" w:color="auto"/>
              <w:right w:val="single" w:sz="4" w:space="0" w:color="auto"/>
            </w:tcBorders>
            <w:noWrap/>
            <w:vAlign w:val="center"/>
            <w:hideMark/>
          </w:tcPr>
          <w:p w14:paraId="0D479C7C" w14:textId="77777777" w:rsidR="009B2468" w:rsidRPr="00452C89" w:rsidRDefault="009B2468" w:rsidP="009B7D58">
            <w:pPr>
              <w:spacing w:line="360" w:lineRule="auto"/>
              <w:jc w:val="both"/>
              <w:rPr>
                <w:rFonts w:cstheme="minorHAnsi"/>
                <w:b/>
                <w:sz w:val="24"/>
                <w:szCs w:val="24"/>
              </w:rPr>
            </w:pPr>
            <w:r w:rsidRPr="00452C89">
              <w:rPr>
                <w:rFonts w:cstheme="minorHAnsi"/>
                <w:b/>
                <w:sz w:val="24"/>
                <w:szCs w:val="24"/>
              </w:rPr>
              <w:t>12.886</w:t>
            </w:r>
          </w:p>
        </w:tc>
      </w:tr>
      <w:tr w:rsidR="009B2468" w:rsidRPr="00452C89" w14:paraId="0072027C" w14:textId="77777777" w:rsidTr="009B2468">
        <w:trPr>
          <w:trHeight w:val="288"/>
          <w:jc w:val="center"/>
        </w:trPr>
        <w:tc>
          <w:tcPr>
            <w:tcW w:w="1121" w:type="dxa"/>
            <w:tcBorders>
              <w:top w:val="nil"/>
              <w:left w:val="single" w:sz="4" w:space="0" w:color="auto"/>
              <w:bottom w:val="single" w:sz="2" w:space="0" w:color="auto"/>
              <w:right w:val="single" w:sz="4" w:space="0" w:color="auto"/>
            </w:tcBorders>
            <w:noWrap/>
            <w:vAlign w:val="center"/>
            <w:hideMark/>
          </w:tcPr>
          <w:p w14:paraId="48DB92A1" w14:textId="77777777" w:rsidR="009B2468" w:rsidRPr="00452C89" w:rsidRDefault="009B2468" w:rsidP="009B7D58">
            <w:pPr>
              <w:spacing w:line="360" w:lineRule="auto"/>
              <w:jc w:val="both"/>
              <w:rPr>
                <w:rFonts w:cstheme="minorHAnsi"/>
                <w:b/>
                <w:bCs/>
                <w:sz w:val="24"/>
                <w:szCs w:val="24"/>
              </w:rPr>
            </w:pPr>
            <w:r w:rsidRPr="00452C89">
              <w:rPr>
                <w:rFonts w:cstheme="minorHAnsi"/>
                <w:b/>
                <w:bCs/>
                <w:sz w:val="24"/>
                <w:szCs w:val="24"/>
              </w:rPr>
              <w:t>3</w:t>
            </w:r>
          </w:p>
        </w:tc>
        <w:tc>
          <w:tcPr>
            <w:tcW w:w="2085" w:type="dxa"/>
            <w:tcBorders>
              <w:top w:val="nil"/>
              <w:left w:val="nil"/>
              <w:bottom w:val="single" w:sz="2" w:space="0" w:color="auto"/>
              <w:right w:val="single" w:sz="4" w:space="0" w:color="auto"/>
            </w:tcBorders>
            <w:noWrap/>
            <w:vAlign w:val="center"/>
            <w:hideMark/>
          </w:tcPr>
          <w:p w14:paraId="2A94FF15" w14:textId="77777777" w:rsidR="009B2468" w:rsidRPr="00452C89" w:rsidRDefault="009B2468" w:rsidP="009B7D58">
            <w:pPr>
              <w:spacing w:line="360" w:lineRule="auto"/>
              <w:jc w:val="both"/>
              <w:rPr>
                <w:rFonts w:cstheme="minorHAnsi"/>
                <w:sz w:val="24"/>
                <w:szCs w:val="24"/>
              </w:rPr>
            </w:pPr>
            <w:r w:rsidRPr="00452C89">
              <w:rPr>
                <w:rFonts w:cstheme="minorHAnsi"/>
                <w:sz w:val="24"/>
                <w:szCs w:val="24"/>
              </w:rPr>
              <w:t>18.687</w:t>
            </w:r>
          </w:p>
        </w:tc>
        <w:tc>
          <w:tcPr>
            <w:tcW w:w="1127" w:type="dxa"/>
            <w:tcBorders>
              <w:top w:val="nil"/>
              <w:left w:val="nil"/>
              <w:bottom w:val="single" w:sz="2" w:space="0" w:color="auto"/>
              <w:right w:val="single" w:sz="4" w:space="0" w:color="auto"/>
            </w:tcBorders>
            <w:noWrap/>
            <w:vAlign w:val="center"/>
            <w:hideMark/>
          </w:tcPr>
          <w:p w14:paraId="310AA53E" w14:textId="77777777" w:rsidR="009B2468" w:rsidRPr="00452C89" w:rsidRDefault="009B2468" w:rsidP="009B7D58">
            <w:pPr>
              <w:spacing w:line="360" w:lineRule="auto"/>
              <w:jc w:val="both"/>
              <w:rPr>
                <w:rFonts w:cstheme="minorHAnsi"/>
                <w:b/>
                <w:sz w:val="24"/>
                <w:szCs w:val="24"/>
              </w:rPr>
            </w:pPr>
            <w:r w:rsidRPr="00452C89">
              <w:rPr>
                <w:rFonts w:cstheme="minorHAnsi"/>
                <w:b/>
                <w:sz w:val="24"/>
                <w:szCs w:val="24"/>
              </w:rPr>
              <w:t>9.343</w:t>
            </w:r>
          </w:p>
        </w:tc>
      </w:tr>
      <w:tr w:rsidR="009B2468" w:rsidRPr="00452C89" w14:paraId="719565C8" w14:textId="77777777" w:rsidTr="009B2468">
        <w:trPr>
          <w:trHeight w:val="288"/>
          <w:jc w:val="center"/>
        </w:trPr>
        <w:tc>
          <w:tcPr>
            <w:tcW w:w="1121" w:type="dxa"/>
            <w:tcBorders>
              <w:top w:val="single" w:sz="2" w:space="0" w:color="auto"/>
              <w:left w:val="single" w:sz="2" w:space="0" w:color="auto"/>
              <w:bottom w:val="single" w:sz="2" w:space="0" w:color="auto"/>
              <w:right w:val="single" w:sz="2" w:space="0" w:color="auto"/>
            </w:tcBorders>
            <w:noWrap/>
            <w:vAlign w:val="center"/>
            <w:hideMark/>
          </w:tcPr>
          <w:p w14:paraId="30D6030C" w14:textId="77777777" w:rsidR="009B2468" w:rsidRPr="00452C89" w:rsidRDefault="009B2468" w:rsidP="009B7D58">
            <w:pPr>
              <w:spacing w:line="360" w:lineRule="auto"/>
              <w:jc w:val="both"/>
              <w:rPr>
                <w:rFonts w:cstheme="minorHAnsi"/>
                <w:b/>
                <w:bCs/>
                <w:sz w:val="24"/>
                <w:szCs w:val="24"/>
              </w:rPr>
            </w:pPr>
            <w:r w:rsidRPr="00452C89">
              <w:rPr>
                <w:rFonts w:cstheme="minorHAnsi"/>
                <w:b/>
                <w:bCs/>
                <w:sz w:val="24"/>
                <w:szCs w:val="24"/>
              </w:rPr>
              <w:t>4</w:t>
            </w:r>
          </w:p>
        </w:tc>
        <w:tc>
          <w:tcPr>
            <w:tcW w:w="2085" w:type="dxa"/>
            <w:tcBorders>
              <w:top w:val="single" w:sz="2" w:space="0" w:color="auto"/>
              <w:left w:val="single" w:sz="2" w:space="0" w:color="auto"/>
              <w:bottom w:val="single" w:sz="2" w:space="0" w:color="auto"/>
              <w:right w:val="single" w:sz="2" w:space="0" w:color="auto"/>
            </w:tcBorders>
            <w:noWrap/>
            <w:vAlign w:val="center"/>
            <w:hideMark/>
          </w:tcPr>
          <w:p w14:paraId="1D3FBF73" w14:textId="77777777" w:rsidR="009B2468" w:rsidRPr="00452C89" w:rsidRDefault="009B2468" w:rsidP="009B7D58">
            <w:pPr>
              <w:spacing w:line="360" w:lineRule="auto"/>
              <w:jc w:val="both"/>
              <w:rPr>
                <w:rFonts w:cstheme="minorHAnsi"/>
                <w:sz w:val="24"/>
                <w:szCs w:val="24"/>
              </w:rPr>
            </w:pPr>
            <w:r w:rsidRPr="00452C89">
              <w:rPr>
                <w:rFonts w:cstheme="minorHAnsi"/>
                <w:sz w:val="24"/>
                <w:szCs w:val="24"/>
              </w:rPr>
              <w:t>31.923</w:t>
            </w:r>
          </w:p>
        </w:tc>
        <w:tc>
          <w:tcPr>
            <w:tcW w:w="1127" w:type="dxa"/>
            <w:tcBorders>
              <w:top w:val="single" w:sz="2" w:space="0" w:color="auto"/>
              <w:left w:val="single" w:sz="2" w:space="0" w:color="auto"/>
              <w:bottom w:val="single" w:sz="2" w:space="0" w:color="auto"/>
              <w:right w:val="single" w:sz="2" w:space="0" w:color="auto"/>
            </w:tcBorders>
            <w:noWrap/>
            <w:vAlign w:val="center"/>
            <w:hideMark/>
          </w:tcPr>
          <w:p w14:paraId="31A066D2" w14:textId="77777777" w:rsidR="009B2468" w:rsidRPr="00452C89" w:rsidRDefault="009B2468" w:rsidP="009B7D58">
            <w:pPr>
              <w:spacing w:line="360" w:lineRule="auto"/>
              <w:jc w:val="both"/>
              <w:rPr>
                <w:rFonts w:cstheme="minorHAnsi"/>
                <w:b/>
                <w:sz w:val="24"/>
                <w:szCs w:val="24"/>
              </w:rPr>
            </w:pPr>
            <w:r w:rsidRPr="00452C89">
              <w:rPr>
                <w:rFonts w:cstheme="minorHAnsi"/>
                <w:b/>
                <w:sz w:val="24"/>
                <w:szCs w:val="24"/>
              </w:rPr>
              <w:t>15.961</w:t>
            </w:r>
          </w:p>
        </w:tc>
      </w:tr>
      <w:tr w:rsidR="009B2468" w:rsidRPr="00452C89" w14:paraId="4D27C9F1" w14:textId="77777777" w:rsidTr="009B2468">
        <w:trPr>
          <w:trHeight w:val="288"/>
          <w:jc w:val="center"/>
        </w:trPr>
        <w:tc>
          <w:tcPr>
            <w:tcW w:w="1121" w:type="dxa"/>
            <w:tcBorders>
              <w:top w:val="single" w:sz="2" w:space="0" w:color="auto"/>
              <w:left w:val="single" w:sz="2" w:space="0" w:color="auto"/>
              <w:bottom w:val="single" w:sz="2" w:space="0" w:color="auto"/>
              <w:right w:val="single" w:sz="2" w:space="0" w:color="auto"/>
            </w:tcBorders>
            <w:noWrap/>
            <w:vAlign w:val="center"/>
            <w:hideMark/>
          </w:tcPr>
          <w:p w14:paraId="0B6EA9E6" w14:textId="77777777" w:rsidR="009B2468" w:rsidRPr="00452C89" w:rsidRDefault="009B2468" w:rsidP="009B7D58">
            <w:pPr>
              <w:spacing w:line="360" w:lineRule="auto"/>
              <w:jc w:val="both"/>
              <w:rPr>
                <w:rFonts w:cstheme="minorHAnsi"/>
                <w:b/>
                <w:bCs/>
                <w:sz w:val="24"/>
                <w:szCs w:val="24"/>
              </w:rPr>
            </w:pPr>
            <w:r w:rsidRPr="00452C89">
              <w:rPr>
                <w:rFonts w:cstheme="minorHAnsi"/>
                <w:b/>
                <w:bCs/>
                <w:sz w:val="24"/>
                <w:szCs w:val="24"/>
              </w:rPr>
              <w:lastRenderedPageBreak/>
              <w:t>5</w:t>
            </w:r>
          </w:p>
        </w:tc>
        <w:tc>
          <w:tcPr>
            <w:tcW w:w="2085" w:type="dxa"/>
            <w:tcBorders>
              <w:top w:val="single" w:sz="2" w:space="0" w:color="auto"/>
              <w:left w:val="single" w:sz="2" w:space="0" w:color="auto"/>
              <w:bottom w:val="single" w:sz="2" w:space="0" w:color="auto"/>
              <w:right w:val="single" w:sz="2" w:space="0" w:color="auto"/>
            </w:tcBorders>
            <w:noWrap/>
            <w:vAlign w:val="center"/>
            <w:hideMark/>
          </w:tcPr>
          <w:p w14:paraId="2F789E91" w14:textId="77777777" w:rsidR="009B2468" w:rsidRPr="00452C89" w:rsidRDefault="009B2468" w:rsidP="009B7D58">
            <w:pPr>
              <w:spacing w:line="360" w:lineRule="auto"/>
              <w:jc w:val="both"/>
              <w:rPr>
                <w:rFonts w:cstheme="minorHAnsi"/>
                <w:sz w:val="24"/>
                <w:szCs w:val="24"/>
              </w:rPr>
            </w:pPr>
            <w:r w:rsidRPr="00452C89">
              <w:rPr>
                <w:rFonts w:cstheme="minorHAnsi"/>
                <w:sz w:val="24"/>
                <w:szCs w:val="24"/>
              </w:rPr>
              <w:t>27.536</w:t>
            </w:r>
          </w:p>
        </w:tc>
        <w:tc>
          <w:tcPr>
            <w:tcW w:w="1127" w:type="dxa"/>
            <w:tcBorders>
              <w:top w:val="single" w:sz="2" w:space="0" w:color="auto"/>
              <w:left w:val="single" w:sz="2" w:space="0" w:color="auto"/>
              <w:bottom w:val="single" w:sz="2" w:space="0" w:color="auto"/>
              <w:right w:val="single" w:sz="2" w:space="0" w:color="auto"/>
            </w:tcBorders>
            <w:noWrap/>
            <w:vAlign w:val="center"/>
            <w:hideMark/>
          </w:tcPr>
          <w:p w14:paraId="4167FB7D" w14:textId="77777777" w:rsidR="009B2468" w:rsidRPr="00452C89" w:rsidRDefault="009B2468" w:rsidP="009B7D58">
            <w:pPr>
              <w:spacing w:line="360" w:lineRule="auto"/>
              <w:jc w:val="both"/>
              <w:rPr>
                <w:rFonts w:cstheme="minorHAnsi"/>
                <w:b/>
                <w:sz w:val="24"/>
                <w:szCs w:val="24"/>
              </w:rPr>
            </w:pPr>
            <w:r w:rsidRPr="00452C89">
              <w:rPr>
                <w:rFonts w:cstheme="minorHAnsi"/>
                <w:b/>
                <w:sz w:val="24"/>
                <w:szCs w:val="24"/>
              </w:rPr>
              <w:t>13.768</w:t>
            </w:r>
          </w:p>
        </w:tc>
      </w:tr>
    </w:tbl>
    <w:p w14:paraId="0A7B1319" w14:textId="77777777" w:rsidR="009B2468" w:rsidRPr="00452C89"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452C89">
        <w:rPr>
          <w:rFonts w:asciiTheme="minorHAnsi" w:eastAsia="TimesNewRomanPSMT" w:hAnsiTheme="minorHAnsi" w:cstheme="minorHAnsi"/>
          <w:szCs w:val="24"/>
        </w:rPr>
        <w:t>Justificamos a necessidade de garantir a capacidade técnica de 50% da média de atendimentos, dada a complexidade da execução dos serviços da alimentação escolar na Rede Estadual. Com o passar dos anos, houve melhorias substanciais no PNAE, que envolvem cardápios mais completos, além do aumento do número de escolas de Tempo Integral, aumentando a demanda que já se atendia na rede. Por isso, é fundamental a participação de empresas com capacidade técnica comprovada</w:t>
      </w:r>
    </w:p>
    <w:p w14:paraId="24ADE043" w14:textId="644D1CC8" w:rsidR="00820AD1" w:rsidRPr="00B1510A" w:rsidRDefault="008137E2" w:rsidP="009B7D58">
      <w:pPr>
        <w:pStyle w:val="PargrafodaLista"/>
        <w:numPr>
          <w:ilvl w:val="4"/>
          <w:numId w:val="5"/>
        </w:numPr>
        <w:spacing w:before="0" w:after="200" w:line="360" w:lineRule="auto"/>
        <w:rPr>
          <w:rFonts w:asciiTheme="minorHAnsi" w:eastAsia="TimesNewRomanPSMT" w:hAnsiTheme="minorHAnsi" w:cstheme="minorHAnsi"/>
          <w:szCs w:val="24"/>
        </w:rPr>
      </w:pPr>
      <w:r w:rsidRPr="00452C89">
        <w:rPr>
          <w:rFonts w:asciiTheme="minorHAnsi" w:eastAsia="TimesNewRomanPSMT" w:hAnsiTheme="minorHAnsi" w:cstheme="minorHAnsi"/>
          <w:szCs w:val="24"/>
        </w:rPr>
        <w:t xml:space="preserve"> </w:t>
      </w:r>
      <w:r w:rsidR="009B2468" w:rsidRPr="00452C89">
        <w:rPr>
          <w:rFonts w:asciiTheme="minorHAnsi" w:eastAsia="TimesNewRomanPSMT" w:hAnsiTheme="minorHAnsi" w:cstheme="minorHAnsi"/>
          <w:szCs w:val="24"/>
        </w:rPr>
        <w:t>Características: em relação aos itens que constam no objeto desta contratação, comprovar, pelo menos, a execução dos serviços de preparo, logística, mão de obra e distribuição</w:t>
      </w:r>
      <w:r w:rsidR="00F935B1">
        <w:rPr>
          <w:rFonts w:asciiTheme="minorHAnsi" w:eastAsia="TimesNewRomanPSMT" w:hAnsiTheme="minorHAnsi" w:cstheme="minorHAnsi"/>
          <w:szCs w:val="24"/>
        </w:rPr>
        <w:t>, sendo estas as p</w:t>
      </w:r>
      <w:r w:rsidR="00F935B1" w:rsidRPr="00F935B1">
        <w:rPr>
          <w:rFonts w:asciiTheme="minorHAnsi" w:eastAsia="TimesNewRomanPSMT" w:hAnsiTheme="minorHAnsi" w:cstheme="minorHAnsi"/>
          <w:szCs w:val="24"/>
        </w:rPr>
        <w:t>arcelas de maior relevância</w:t>
      </w:r>
      <w:r w:rsidR="00F935B1">
        <w:rPr>
          <w:rFonts w:asciiTheme="minorHAnsi" w:eastAsia="TimesNewRomanPSMT" w:hAnsiTheme="minorHAnsi" w:cstheme="minorHAnsi"/>
          <w:szCs w:val="24"/>
        </w:rPr>
        <w:t xml:space="preserve"> da contratação</w:t>
      </w:r>
      <w:r w:rsidR="009B2468" w:rsidRPr="00452C89">
        <w:rPr>
          <w:rFonts w:asciiTheme="minorHAnsi" w:eastAsia="TimesNewRomanPSMT" w:hAnsiTheme="minorHAnsi" w:cstheme="minorHAnsi"/>
          <w:szCs w:val="24"/>
        </w:rPr>
        <w:t>.</w:t>
      </w:r>
    </w:p>
    <w:p w14:paraId="21278125" w14:textId="77777777" w:rsidR="009B2468" w:rsidRPr="00B1510A"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B1510A">
        <w:rPr>
          <w:rFonts w:asciiTheme="minorHAnsi" w:eastAsia="TimesNewRomanPSMT" w:hAnsiTheme="minorHAnsi" w:cstheme="minorHAnsi"/>
          <w:szCs w:val="24"/>
        </w:rPr>
        <w:t>Prazo: Execução de 24 meses de contrato.</w:t>
      </w:r>
    </w:p>
    <w:p w14:paraId="1C6A5CD0" w14:textId="77777777" w:rsidR="009B2468" w:rsidRPr="00B1510A"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B1510A">
        <w:rPr>
          <w:rFonts w:asciiTheme="minorHAnsi" w:eastAsia="TimesNewRomanPSMT" w:hAnsiTheme="minorHAnsi" w:cstheme="minorHAnsi"/>
          <w:szCs w:val="24"/>
        </w:rPr>
        <w:t>Será permitido o somatório de Atestados, desde que a execução tenha sido em período concomitante.</w:t>
      </w:r>
    </w:p>
    <w:p w14:paraId="7B0FDC0E" w14:textId="77777777" w:rsidR="009B2468" w:rsidRPr="00B1510A"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B1510A">
        <w:rPr>
          <w:rFonts w:asciiTheme="minorHAnsi" w:eastAsia="TimesNewRomanPSMT" w:hAnsiTheme="minorHAnsi" w:cstheme="minorHAnsi"/>
          <w:szCs w:val="24"/>
        </w:rPr>
        <w:t xml:space="preserve">Como critério de mensuração dos atestados a chegar no resultado pretendido ao atendimento/dia, será feito com a soma do atendimento mensal dividido pelo número máximo de dias letivos, por exemplo, 150 mil atendimentos/mês dividido por 22 dias/letivos = 6.818 atendimentos/dia.  </w:t>
      </w:r>
    </w:p>
    <w:p w14:paraId="23CE14CA" w14:textId="5C975E74" w:rsidR="009B2468"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B1510A">
        <w:rPr>
          <w:rFonts w:asciiTheme="minorHAnsi" w:eastAsia="TimesNewRomanPSMT" w:hAnsiTheme="minorHAnsi" w:cstheme="minorHAnsi"/>
          <w:szCs w:val="24"/>
        </w:rPr>
        <w:t>O atestado de 12 meses ou de um ano de execução deve considerar a totalidade dos atendimentos executados, divididos pela quantidade de dias letivos no período, quando o atestado for proveniente de instituição educacional.</w:t>
      </w:r>
    </w:p>
    <w:p w14:paraId="360F6ECB" w14:textId="46D40212" w:rsidR="00C92FF6" w:rsidRPr="00C92FF6" w:rsidRDefault="00C92FF6" w:rsidP="009B7D58">
      <w:pPr>
        <w:pStyle w:val="PargrafodaLista"/>
        <w:numPr>
          <w:ilvl w:val="4"/>
          <w:numId w:val="5"/>
        </w:numPr>
        <w:spacing w:before="0" w:after="200" w:line="360" w:lineRule="auto"/>
        <w:rPr>
          <w:rFonts w:asciiTheme="minorHAnsi" w:eastAsia="TimesNewRomanPSMT" w:hAnsiTheme="minorHAnsi" w:cstheme="minorHAnsi"/>
          <w:szCs w:val="24"/>
        </w:rPr>
      </w:pPr>
      <w:r w:rsidRPr="00C92FF6">
        <w:rPr>
          <w:rFonts w:asciiTheme="minorHAnsi" w:hAnsiTheme="minorHAnsi" w:cstheme="minorHAnsi"/>
        </w:rPr>
        <w:t>Se a licitante for arrematante de mais de um lote, não poderá utilizar o mesmo atestado para fins de comprovação nos demais, salvo se a quantidade total apresentada no atestado comportar a quantidade mínima da soma dos lotes arrematados</w:t>
      </w:r>
      <w:r w:rsidRPr="00C92FF6">
        <w:rPr>
          <w:rFonts w:asciiTheme="minorHAnsi" w:hAnsiTheme="minorHAnsi" w:cstheme="minorHAnsi"/>
        </w:rPr>
        <w:t>.</w:t>
      </w:r>
      <w:bookmarkStart w:id="1" w:name="_GoBack"/>
      <w:bookmarkEnd w:id="1"/>
    </w:p>
    <w:p w14:paraId="513F2787" w14:textId="77777777" w:rsidR="009B2468" w:rsidRPr="00B1510A"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B1510A">
        <w:rPr>
          <w:rFonts w:asciiTheme="minorHAnsi" w:eastAsia="TimesNewRomanPSMT" w:hAnsiTheme="minorHAnsi" w:cstheme="minorHAnsi"/>
          <w:szCs w:val="24"/>
        </w:rPr>
        <w:t xml:space="preserve">Declaração da empresa de que, no decorrer da execução do objeto contratual, disponibilizará, no Estado do Espírito Santo, </w:t>
      </w:r>
      <w:r w:rsidRPr="00B1510A">
        <w:rPr>
          <w:rFonts w:asciiTheme="minorHAnsi" w:eastAsia="TimesNewRomanPSMT" w:hAnsiTheme="minorHAnsi" w:cstheme="minorHAnsi"/>
          <w:szCs w:val="24"/>
        </w:rPr>
        <w:lastRenderedPageBreak/>
        <w:t>instalações, equipamentos, veículos e pessoal técnico especializado, essenciais ao eficiente cumprimento do contrato.</w:t>
      </w:r>
    </w:p>
    <w:p w14:paraId="64CD58C7" w14:textId="77777777" w:rsidR="009B2468" w:rsidRPr="00B1510A"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B1510A">
        <w:rPr>
          <w:rFonts w:asciiTheme="minorHAnsi" w:eastAsia="TimesNewRomanPSMT" w:hAnsiTheme="minorHAnsi" w:cstheme="minorHAnsi"/>
          <w:szCs w:val="24"/>
        </w:rPr>
        <w:t xml:space="preserve">Declaração expedida pela empresa licitante, comprometendo-se a utilizar, na execução do contrato, apenas veículos para utilização exclusiva no transporte de alimentos, conforme exigências da Legislação Sanitária Vigente e Portaria 069-R, de 26 de setembro de 2007 expedida pela Secretaria de Saúde – Sesa do Espírito Santo e item 4.9 da Resolução RDC nº. 216 de 15/09/2004 expedida pela Anvisa e posteriores alterações, bem como suas atualizações/ revogações. </w:t>
      </w:r>
    </w:p>
    <w:p w14:paraId="3896E3A4" w14:textId="77777777" w:rsidR="009B2468" w:rsidRPr="00B1510A"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B1510A">
        <w:rPr>
          <w:rFonts w:asciiTheme="minorHAnsi" w:eastAsia="TimesNewRomanPSMT" w:hAnsiTheme="minorHAnsi" w:cstheme="minorHAnsi"/>
          <w:szCs w:val="24"/>
        </w:rPr>
        <w:t>Os veículos devem ser adequados, em quantidade suficiente para atender à logística de distribuição da alimentação entre as Unidades Escolares, declarando, ainda, estar ciente de que antes da assinatura do contrato deverá apresentar a Licença Sanitária de todos os veículos que serão utilizados nos serviços.</w:t>
      </w:r>
    </w:p>
    <w:p w14:paraId="375FE9A1" w14:textId="77777777" w:rsidR="009B2468" w:rsidRPr="00B1510A"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B1510A">
        <w:rPr>
          <w:rFonts w:asciiTheme="minorHAnsi" w:eastAsia="TimesNewRomanPSMT" w:hAnsiTheme="minorHAnsi" w:cstheme="minorHAnsi"/>
          <w:szCs w:val="24"/>
        </w:rPr>
        <w:t>Declaração, expedida pela empresa, comprometendo-se a manter estrutura na região com vistas ao funcionamento de escritório e central de abastecimento, equipe volante para substituição imediata de funcionários que, por algum motivo, estiverem impossibilitados de comparecer ao posto de trabalho e demais serviços, bem como atendimento diário às escolas por todo o período de funcionamento.</w:t>
      </w:r>
    </w:p>
    <w:p w14:paraId="3C0CCF3A" w14:textId="77777777" w:rsidR="009B2468" w:rsidRPr="00B1510A" w:rsidRDefault="009B2468" w:rsidP="009B7D58">
      <w:pPr>
        <w:pStyle w:val="PargrafodaLista"/>
        <w:numPr>
          <w:ilvl w:val="4"/>
          <w:numId w:val="5"/>
        </w:numPr>
        <w:spacing w:before="0" w:after="200" w:line="360" w:lineRule="auto"/>
        <w:rPr>
          <w:rFonts w:asciiTheme="minorHAnsi" w:eastAsia="TimesNewRomanPSMT" w:hAnsiTheme="minorHAnsi" w:cstheme="minorHAnsi"/>
          <w:szCs w:val="24"/>
        </w:rPr>
      </w:pPr>
      <w:r w:rsidRPr="00B1510A">
        <w:rPr>
          <w:rFonts w:asciiTheme="minorHAnsi" w:eastAsia="TimesNewRomanPSMT" w:hAnsiTheme="minorHAnsi" w:cstheme="minorHAnsi"/>
          <w:szCs w:val="24"/>
        </w:rPr>
        <w:t>Apresentação do Alvará de Licença Sanitária, emitido pelo órgão competente da sede da empresa, até a data limite de entrega dos documentos de habilitação.</w:t>
      </w:r>
    </w:p>
    <w:p w14:paraId="5276AE40" w14:textId="77777777" w:rsidR="002C1C5D" w:rsidRPr="00452C89" w:rsidRDefault="009B2468" w:rsidP="009B7D58">
      <w:pPr>
        <w:pStyle w:val="N111"/>
        <w:numPr>
          <w:ilvl w:val="2"/>
          <w:numId w:val="4"/>
        </w:numPr>
        <w:spacing w:line="360" w:lineRule="auto"/>
        <w:ind w:left="0"/>
        <w:rPr>
          <w:rFonts w:asciiTheme="minorHAnsi" w:hAnsiTheme="minorHAnsi" w:cstheme="minorHAnsi"/>
          <w:szCs w:val="24"/>
        </w:rPr>
      </w:pPr>
      <w:r w:rsidRPr="00452C89">
        <w:rPr>
          <w:rFonts w:asciiTheme="minorHAnsi" w:hAnsiTheme="minorHAnsi" w:cstheme="minorHAnsi"/>
          <w:szCs w:val="24"/>
        </w:rPr>
        <w:t>CAPACIDADE TÉCNICA PROFISSIONAL:</w:t>
      </w:r>
    </w:p>
    <w:p w14:paraId="2E07A059" w14:textId="77777777" w:rsidR="002C1C5D" w:rsidRPr="00452C89" w:rsidRDefault="002C1C5D" w:rsidP="009B7D58">
      <w:pPr>
        <w:pStyle w:val="N111"/>
        <w:numPr>
          <w:ilvl w:val="3"/>
          <w:numId w:val="4"/>
        </w:numPr>
        <w:spacing w:line="360" w:lineRule="auto"/>
        <w:rPr>
          <w:rFonts w:asciiTheme="minorHAnsi" w:hAnsiTheme="minorHAnsi" w:cstheme="minorHAnsi"/>
          <w:szCs w:val="24"/>
        </w:rPr>
      </w:pPr>
      <w:r w:rsidRPr="00452C89">
        <w:rPr>
          <w:rFonts w:asciiTheme="minorHAnsi" w:hAnsiTheme="minorHAnsi" w:cstheme="minorHAnsi"/>
          <w:bCs/>
          <w:szCs w:val="24"/>
        </w:rPr>
        <w:t>Comprovação de possuir em seu quadro permanente, profissional devidamente reconhecido pelo Conselho Regional de Nutricionistas.</w:t>
      </w:r>
    </w:p>
    <w:p w14:paraId="759F3AAA" w14:textId="77777777" w:rsidR="002C1C5D" w:rsidRPr="00452C89" w:rsidRDefault="002C1C5D" w:rsidP="009B7D58">
      <w:pPr>
        <w:pStyle w:val="N111"/>
        <w:numPr>
          <w:ilvl w:val="3"/>
          <w:numId w:val="4"/>
        </w:numPr>
        <w:spacing w:line="360" w:lineRule="auto"/>
        <w:rPr>
          <w:rFonts w:asciiTheme="minorHAnsi" w:hAnsiTheme="minorHAnsi" w:cstheme="minorHAnsi"/>
          <w:szCs w:val="24"/>
        </w:rPr>
      </w:pPr>
      <w:r w:rsidRPr="00452C89">
        <w:rPr>
          <w:rFonts w:asciiTheme="minorHAnsi" w:hAnsiTheme="minorHAnsi" w:cstheme="minorHAnsi"/>
          <w:szCs w:val="24"/>
        </w:rPr>
        <w:lastRenderedPageBreak/>
        <w:t>Declaração emitida pelo profissional indicado como responsável técnico, que se compromete a atuar como responsável técnico, pela empresa, durante a execução do contrato que será firmado através da presente contratação.</w:t>
      </w:r>
    </w:p>
    <w:p w14:paraId="789A7EC5" w14:textId="77777777" w:rsidR="002C1C5D" w:rsidRPr="00452C89" w:rsidRDefault="002C1C5D" w:rsidP="009B7D58">
      <w:pPr>
        <w:pStyle w:val="N111"/>
        <w:numPr>
          <w:ilvl w:val="3"/>
          <w:numId w:val="4"/>
        </w:numPr>
        <w:spacing w:line="360" w:lineRule="auto"/>
        <w:rPr>
          <w:rFonts w:asciiTheme="minorHAnsi" w:hAnsiTheme="minorHAnsi" w:cstheme="minorHAnsi"/>
          <w:szCs w:val="24"/>
        </w:rPr>
      </w:pPr>
      <w:r w:rsidRPr="00452C89">
        <w:rPr>
          <w:rFonts w:asciiTheme="minorHAnsi" w:hAnsiTheme="minorHAnsi" w:cstheme="minorHAnsi"/>
          <w:bCs/>
          <w:szCs w:val="24"/>
        </w:rPr>
        <w:t xml:space="preserve">Comprovação de possuir no seu quadro permanente profissionais de Segurança do Trabalho em conformidade com a Portaria TEM/SSST nº 3.214/1897 - Normas Reguladora NR 04 do SEESMT, Acórdão nº 2.898/2012 e posteriores alterações. </w:t>
      </w:r>
    </w:p>
    <w:p w14:paraId="59FE44E0" w14:textId="77777777" w:rsidR="002C1C5D" w:rsidRPr="00452C89" w:rsidRDefault="002C1C5D" w:rsidP="009B7D58">
      <w:pPr>
        <w:pStyle w:val="N111"/>
        <w:numPr>
          <w:ilvl w:val="3"/>
          <w:numId w:val="4"/>
        </w:numPr>
        <w:spacing w:line="360" w:lineRule="auto"/>
        <w:rPr>
          <w:rFonts w:asciiTheme="minorHAnsi" w:hAnsiTheme="minorHAnsi" w:cstheme="minorHAnsi"/>
          <w:szCs w:val="24"/>
        </w:rPr>
      </w:pPr>
      <w:r w:rsidRPr="00452C89">
        <w:rPr>
          <w:rFonts w:asciiTheme="minorHAnsi" w:hAnsiTheme="minorHAnsi" w:cstheme="minorHAnsi"/>
          <w:szCs w:val="24"/>
        </w:rPr>
        <w:t>Os profissionais indicados pela licitante para fins de comprovação da capacitação técnica operacional deverão participar da execução dos serviços, admitindo-se a substituição por profissionais de experiência equivalente ou superior.</w:t>
      </w:r>
    </w:p>
    <w:p w14:paraId="0AA52237" w14:textId="77777777" w:rsidR="009B2468" w:rsidRPr="00D55AC5" w:rsidRDefault="009B2468" w:rsidP="009B7D58">
      <w:pPr>
        <w:pStyle w:val="N111"/>
        <w:numPr>
          <w:ilvl w:val="0"/>
          <w:numId w:val="0"/>
        </w:numPr>
        <w:spacing w:line="360" w:lineRule="auto"/>
      </w:pPr>
    </w:p>
    <w:p w14:paraId="7C1E4D7A" w14:textId="77777777" w:rsidR="009B2468" w:rsidRPr="00662F11" w:rsidRDefault="009B2468" w:rsidP="009B7D58">
      <w:pPr>
        <w:pStyle w:val="PargrafodaLista"/>
        <w:numPr>
          <w:ilvl w:val="2"/>
          <w:numId w:val="5"/>
        </w:numPr>
        <w:spacing w:line="360" w:lineRule="auto"/>
        <w:contextualSpacing w:val="0"/>
        <w:rPr>
          <w:vanish/>
        </w:rPr>
      </w:pPr>
    </w:p>
    <w:sectPr w:rsidR="009B2468" w:rsidRPr="00662F1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4FF41" w14:textId="77777777" w:rsidR="003E2A4D" w:rsidRDefault="003E2A4D" w:rsidP="003E2A4D">
      <w:pPr>
        <w:spacing w:after="0" w:line="240" w:lineRule="auto"/>
      </w:pPr>
      <w:r>
        <w:separator/>
      </w:r>
    </w:p>
  </w:endnote>
  <w:endnote w:type="continuationSeparator" w:id="0">
    <w:p w14:paraId="67A1278D" w14:textId="77777777" w:rsidR="003E2A4D" w:rsidRDefault="003E2A4D" w:rsidP="003E2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17DCC" w14:textId="77777777" w:rsidR="003E2A4D" w:rsidRDefault="003E2A4D" w:rsidP="003E2A4D">
      <w:pPr>
        <w:spacing w:after="0" w:line="240" w:lineRule="auto"/>
      </w:pPr>
      <w:r>
        <w:separator/>
      </w:r>
    </w:p>
  </w:footnote>
  <w:footnote w:type="continuationSeparator" w:id="0">
    <w:p w14:paraId="5C41A803" w14:textId="77777777" w:rsidR="003E2A4D" w:rsidRDefault="003E2A4D" w:rsidP="003E2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B515" w14:textId="77777777" w:rsidR="003E2A4D" w:rsidRPr="00DD7E8C" w:rsidRDefault="003E2A4D" w:rsidP="003E2A4D">
    <w:pPr>
      <w:pStyle w:val="Corpodetexto"/>
      <w:spacing w:before="23" w:line="273" w:lineRule="auto"/>
      <w:ind w:left="3"/>
      <w:jc w:val="center"/>
      <w:rPr>
        <w:spacing w:val="40"/>
        <w:w w:val="105"/>
        <w:sz w:val="17"/>
        <w:szCs w:val="17"/>
      </w:rPr>
    </w:pPr>
    <w:r w:rsidRPr="00DD7E8C">
      <w:rPr>
        <w:w w:val="105"/>
        <w:sz w:val="17"/>
        <w:szCs w:val="17"/>
      </w:rPr>
      <w:t>GOVERNO DO ESTADO DO ESPÍRITO SANTO</w:t>
    </w:r>
    <w:r w:rsidRPr="00DD7E8C">
      <w:rPr>
        <w:spacing w:val="40"/>
        <w:w w:val="105"/>
        <w:sz w:val="17"/>
        <w:szCs w:val="17"/>
      </w:rPr>
      <w:t xml:space="preserve"> </w:t>
    </w:r>
  </w:p>
  <w:p w14:paraId="67DE3053" w14:textId="49B06BAB" w:rsidR="003E2A4D" w:rsidRPr="00403BAA" w:rsidRDefault="003E2A4D" w:rsidP="00403BAA">
    <w:pPr>
      <w:pStyle w:val="Corpodetexto"/>
      <w:spacing w:before="23" w:line="273" w:lineRule="auto"/>
      <w:ind w:left="3"/>
      <w:jc w:val="center"/>
      <w:rPr>
        <w:sz w:val="17"/>
        <w:szCs w:val="17"/>
      </w:rPr>
    </w:pPr>
    <w:r w:rsidRPr="00DD7E8C">
      <w:rPr>
        <w:w w:val="105"/>
        <w:sz w:val="17"/>
        <w:szCs w:val="17"/>
      </w:rPr>
      <w:t>SECRETARIA DE ESTADO DA EDUCAÇÃO</w:t>
    </w:r>
    <w:r w:rsidRPr="00DD7E8C">
      <w:rPr>
        <w:noProof/>
        <w:sz w:val="32"/>
        <w:szCs w:val="32"/>
      </w:rPr>
      <w:drawing>
        <wp:anchor distT="0" distB="0" distL="0" distR="0" simplePos="0" relativeHeight="251659264" behindDoc="1" locked="0" layoutInCell="1" allowOverlap="1" wp14:anchorId="6E080851" wp14:editId="4A2815F4">
          <wp:simplePos x="0" y="0"/>
          <wp:positionH relativeFrom="margin">
            <wp:align>center</wp:align>
          </wp:positionH>
          <wp:positionV relativeFrom="page">
            <wp:posOffset>125095</wp:posOffset>
          </wp:positionV>
          <wp:extent cx="361188" cy="342900"/>
          <wp:effectExtent l="0" t="0" r="1270" b="0"/>
          <wp:wrapNone/>
          <wp:docPr id="1" name="Image 1" descr="Desenho de personagem de desenho animado&#10;&#10;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enho de personagem de desenho animado&#10;&#10;Descrição gerada automaticamente com confiança média"/>
                  <pic:cNvPicPr/>
                </pic:nvPicPr>
                <pic:blipFill>
                  <a:blip r:embed="rId1" cstate="print"/>
                  <a:stretch>
                    <a:fillRect/>
                  </a:stretch>
                </pic:blipFill>
                <pic:spPr>
                  <a:xfrm>
                    <a:off x="0" y="0"/>
                    <a:ext cx="361188" cy="342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55FD"/>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 w15:restartNumberingAfterBreak="0">
    <w:nsid w:val="328E390F"/>
    <w:multiLevelType w:val="multilevel"/>
    <w:tmpl w:val="6904202A"/>
    <w:lvl w:ilvl="0">
      <w:start w:val="1"/>
      <w:numFmt w:val="decimal"/>
      <w:lvlText w:val="%1"/>
      <w:lvlJc w:val="left"/>
      <w:pPr>
        <w:ind w:left="525" w:hanging="525"/>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426" w:firstLine="0"/>
      </w:pPr>
      <w:rPr>
        <w:rFonts w:asciiTheme="minorHAnsi" w:hAnsiTheme="minorHAnsi" w:cstheme="minorHAnsi"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479D130D"/>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47CB795E"/>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pStyle w:val="N111"/>
      <w:suff w:val="space"/>
      <w:lvlText w:val="%1.%2.%3 -"/>
      <w:lvlJc w:val="left"/>
      <w:pPr>
        <w:ind w:left="1701"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66785342"/>
    <w:multiLevelType w:val="multilevel"/>
    <w:tmpl w:val="4AB0BD36"/>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EAB"/>
    <w:rsid w:val="0002169A"/>
    <w:rsid w:val="00122A9D"/>
    <w:rsid w:val="00205422"/>
    <w:rsid w:val="002C1C5D"/>
    <w:rsid w:val="002D6BE1"/>
    <w:rsid w:val="003E2A4D"/>
    <w:rsid w:val="00403BAA"/>
    <w:rsid w:val="00452C89"/>
    <w:rsid w:val="004C1EAB"/>
    <w:rsid w:val="0058397E"/>
    <w:rsid w:val="00666A93"/>
    <w:rsid w:val="007B05D1"/>
    <w:rsid w:val="008137E2"/>
    <w:rsid w:val="00820AD1"/>
    <w:rsid w:val="009B2468"/>
    <w:rsid w:val="009B7D58"/>
    <w:rsid w:val="009C3175"/>
    <w:rsid w:val="00B1510A"/>
    <w:rsid w:val="00BB70F3"/>
    <w:rsid w:val="00C92FF6"/>
    <w:rsid w:val="00CA7B6B"/>
    <w:rsid w:val="00DD7A05"/>
    <w:rsid w:val="00DD7E8C"/>
    <w:rsid w:val="00E069E5"/>
    <w:rsid w:val="00EA38B9"/>
    <w:rsid w:val="00F935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36723A"/>
  <w15:chartTrackingRefBased/>
  <w15:docId w15:val="{DB319BE4-D950-48EA-AED8-F0007A24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C1E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111">
    <w:name w:val="N 1.1.1"/>
    <w:basedOn w:val="Normal"/>
    <w:link w:val="N111Char"/>
    <w:qFormat/>
    <w:rsid w:val="004C1EAB"/>
    <w:pPr>
      <w:numPr>
        <w:ilvl w:val="2"/>
        <w:numId w:val="1"/>
      </w:numPr>
      <w:spacing w:before="240" w:after="240" w:line="240" w:lineRule="auto"/>
      <w:jc w:val="both"/>
    </w:pPr>
    <w:rPr>
      <w:rFonts w:ascii="Arial" w:hAnsi="Arial"/>
      <w:sz w:val="24"/>
    </w:rPr>
  </w:style>
  <w:style w:type="paragraph" w:customStyle="1" w:styleId="N1111">
    <w:name w:val="N 1.1.1.1"/>
    <w:basedOn w:val="N111"/>
    <w:autoRedefine/>
    <w:qFormat/>
    <w:rsid w:val="004C1EAB"/>
    <w:pPr>
      <w:numPr>
        <w:ilvl w:val="3"/>
      </w:numPr>
      <w:tabs>
        <w:tab w:val="num" w:pos="360"/>
      </w:tabs>
    </w:pPr>
  </w:style>
  <w:style w:type="character" w:customStyle="1" w:styleId="N111Char">
    <w:name w:val="N 1.1.1 Char"/>
    <w:basedOn w:val="Fontepargpadro"/>
    <w:link w:val="N111"/>
    <w:rsid w:val="004C1EAB"/>
    <w:rPr>
      <w:rFonts w:ascii="Arial" w:hAnsi="Arial"/>
      <w:sz w:val="24"/>
    </w:rPr>
  </w:style>
  <w:style w:type="paragraph" w:styleId="PargrafodaLista">
    <w:name w:val="List Paragraph"/>
    <w:basedOn w:val="Normal"/>
    <w:link w:val="PargrafodaListaChar"/>
    <w:uiPriority w:val="34"/>
    <w:qFormat/>
    <w:rsid w:val="004C1EAB"/>
    <w:pPr>
      <w:spacing w:before="240" w:after="240" w:line="240" w:lineRule="auto"/>
      <w:ind w:left="720"/>
      <w:contextualSpacing/>
      <w:jc w:val="both"/>
    </w:pPr>
    <w:rPr>
      <w:rFonts w:ascii="Arial" w:hAnsi="Arial"/>
      <w:sz w:val="24"/>
    </w:rPr>
  </w:style>
  <w:style w:type="paragraph" w:customStyle="1" w:styleId="Nivel01">
    <w:name w:val="Nivel 01"/>
    <w:basedOn w:val="Ttulo1"/>
    <w:next w:val="Normal"/>
    <w:link w:val="Nivel01Char"/>
    <w:autoRedefine/>
    <w:qFormat/>
    <w:rsid w:val="009B7D58"/>
    <w:pPr>
      <w:tabs>
        <w:tab w:val="left" w:pos="567"/>
      </w:tabs>
      <w:spacing w:beforeLines="120" w:before="288" w:afterLines="120" w:after="288" w:line="360" w:lineRule="auto"/>
      <w:ind w:left="360" w:hanging="360"/>
      <w:jc w:val="center"/>
    </w:pPr>
    <w:rPr>
      <w:rFonts w:asciiTheme="minorHAnsi" w:hAnsiTheme="minorHAnsi" w:cstheme="minorHAnsi"/>
      <w:b/>
      <w:bCs/>
      <w:iCs/>
      <w:color w:val="auto"/>
      <w:sz w:val="24"/>
      <w:szCs w:val="24"/>
      <w:lang w:eastAsia="pt-BR"/>
    </w:rPr>
  </w:style>
  <w:style w:type="character" w:customStyle="1" w:styleId="Nivel01Char">
    <w:name w:val="Nivel 01 Char"/>
    <w:basedOn w:val="Fontepargpadro"/>
    <w:link w:val="Nivel01"/>
    <w:rsid w:val="009B7D58"/>
    <w:rPr>
      <w:rFonts w:eastAsiaTheme="majorEastAsia" w:cstheme="minorHAnsi"/>
      <w:b/>
      <w:bCs/>
      <w:iCs/>
      <w:sz w:val="24"/>
      <w:szCs w:val="24"/>
      <w:lang w:eastAsia="pt-BR"/>
    </w:rPr>
  </w:style>
  <w:style w:type="character" w:customStyle="1" w:styleId="PargrafodaListaChar">
    <w:name w:val="Parágrafo da Lista Char"/>
    <w:basedOn w:val="Fontepargpadro"/>
    <w:link w:val="PargrafodaLista"/>
    <w:uiPriority w:val="34"/>
    <w:rsid w:val="004C1EAB"/>
    <w:rPr>
      <w:rFonts w:ascii="Arial" w:hAnsi="Arial"/>
      <w:sz w:val="24"/>
    </w:rPr>
  </w:style>
  <w:style w:type="character" w:customStyle="1" w:styleId="Ttulo1Char">
    <w:name w:val="Título 1 Char"/>
    <w:basedOn w:val="Fontepargpadro"/>
    <w:link w:val="Ttulo1"/>
    <w:uiPriority w:val="9"/>
    <w:rsid w:val="004C1EAB"/>
    <w:rPr>
      <w:rFonts w:asciiTheme="majorHAnsi" w:eastAsiaTheme="majorEastAsia" w:hAnsiTheme="majorHAnsi" w:cstheme="majorBidi"/>
      <w:color w:val="2F5496" w:themeColor="accent1" w:themeShade="BF"/>
      <w:sz w:val="32"/>
      <w:szCs w:val="32"/>
    </w:rPr>
  </w:style>
  <w:style w:type="paragraph" w:customStyle="1" w:styleId="PGE-NotaExplicativa">
    <w:name w:val="PGE-NotaExplicativa"/>
    <w:basedOn w:val="Normal"/>
    <w:link w:val="PGE-NotaExplicativaChar"/>
    <w:qFormat/>
    <w:rsid w:val="008137E2"/>
    <w:pPr>
      <w:pBdr>
        <w:top w:val="dashed" w:sz="4" w:space="1" w:color="auto"/>
        <w:left w:val="dashed" w:sz="4" w:space="4" w:color="auto"/>
        <w:bottom w:val="dashed" w:sz="4" w:space="1" w:color="auto"/>
        <w:right w:val="dashed" w:sz="4" w:space="4" w:color="auto"/>
      </w:pBdr>
      <w:shd w:val="clear" w:color="auto" w:fill="FFFF00"/>
      <w:spacing w:before="240" w:after="240" w:line="240" w:lineRule="auto"/>
      <w:jc w:val="both"/>
    </w:pPr>
    <w:rPr>
      <w:rFonts w:ascii="Consolas" w:eastAsia="Calibri" w:hAnsi="Consolas" w:cs="Times New Roman"/>
      <w:sz w:val="24"/>
    </w:rPr>
  </w:style>
  <w:style w:type="character" w:customStyle="1" w:styleId="PGE-NotaExplicativaChar">
    <w:name w:val="PGE-NotaExplicativa Char"/>
    <w:link w:val="PGE-NotaExplicativa"/>
    <w:rsid w:val="008137E2"/>
    <w:rPr>
      <w:rFonts w:ascii="Consolas" w:eastAsia="Calibri" w:hAnsi="Consolas" w:cs="Times New Roman"/>
      <w:sz w:val="24"/>
      <w:shd w:val="clear" w:color="auto" w:fill="FFFF00"/>
    </w:rPr>
  </w:style>
  <w:style w:type="table" w:styleId="Tabelacomgrade">
    <w:name w:val="Table Grid"/>
    <w:basedOn w:val="Tabelanormal"/>
    <w:uiPriority w:val="39"/>
    <w:rsid w:val="00813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E2A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A4D"/>
  </w:style>
  <w:style w:type="paragraph" w:styleId="Rodap">
    <w:name w:val="footer"/>
    <w:basedOn w:val="Normal"/>
    <w:link w:val="RodapChar"/>
    <w:uiPriority w:val="99"/>
    <w:unhideWhenUsed/>
    <w:rsid w:val="003E2A4D"/>
    <w:pPr>
      <w:tabs>
        <w:tab w:val="center" w:pos="4252"/>
        <w:tab w:val="right" w:pos="8504"/>
      </w:tabs>
      <w:spacing w:after="0" w:line="240" w:lineRule="auto"/>
    </w:pPr>
  </w:style>
  <w:style w:type="character" w:customStyle="1" w:styleId="RodapChar">
    <w:name w:val="Rodapé Char"/>
    <w:basedOn w:val="Fontepargpadro"/>
    <w:link w:val="Rodap"/>
    <w:uiPriority w:val="99"/>
    <w:rsid w:val="003E2A4D"/>
  </w:style>
  <w:style w:type="paragraph" w:styleId="Corpodetexto">
    <w:name w:val="Body Text"/>
    <w:basedOn w:val="Normal"/>
    <w:link w:val="CorpodetextoChar"/>
    <w:uiPriority w:val="1"/>
    <w:qFormat/>
    <w:rsid w:val="003E2A4D"/>
    <w:pPr>
      <w:widowControl w:val="0"/>
      <w:autoSpaceDE w:val="0"/>
      <w:autoSpaceDN w:val="0"/>
      <w:spacing w:after="0" w:line="240" w:lineRule="auto"/>
    </w:pPr>
    <w:rPr>
      <w:rFonts w:ascii="Arial MT" w:eastAsia="Arial MT" w:hAnsi="Arial MT" w:cs="Arial MT"/>
      <w:sz w:val="11"/>
      <w:szCs w:val="11"/>
      <w:lang w:val="pt-PT"/>
    </w:rPr>
  </w:style>
  <w:style w:type="character" w:customStyle="1" w:styleId="CorpodetextoChar">
    <w:name w:val="Corpo de texto Char"/>
    <w:basedOn w:val="Fontepargpadro"/>
    <w:link w:val="Corpodetexto"/>
    <w:uiPriority w:val="1"/>
    <w:rsid w:val="003E2A4D"/>
    <w:rPr>
      <w:rFonts w:ascii="Arial MT" w:eastAsia="Arial MT" w:hAnsi="Arial MT" w:cs="Arial MT"/>
      <w:sz w:val="11"/>
      <w:szCs w:val="1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3363">
      <w:bodyDiv w:val="1"/>
      <w:marLeft w:val="0"/>
      <w:marRight w:val="0"/>
      <w:marTop w:val="0"/>
      <w:marBottom w:val="0"/>
      <w:divBdr>
        <w:top w:val="none" w:sz="0" w:space="0" w:color="auto"/>
        <w:left w:val="none" w:sz="0" w:space="0" w:color="auto"/>
        <w:bottom w:val="none" w:sz="0" w:space="0" w:color="auto"/>
        <w:right w:val="none" w:sz="0" w:space="0" w:color="auto"/>
      </w:divBdr>
    </w:div>
    <w:div w:id="665938945">
      <w:bodyDiv w:val="1"/>
      <w:marLeft w:val="0"/>
      <w:marRight w:val="0"/>
      <w:marTop w:val="0"/>
      <w:marBottom w:val="0"/>
      <w:divBdr>
        <w:top w:val="none" w:sz="0" w:space="0" w:color="auto"/>
        <w:left w:val="none" w:sz="0" w:space="0" w:color="auto"/>
        <w:bottom w:val="none" w:sz="0" w:space="0" w:color="auto"/>
        <w:right w:val="none" w:sz="0" w:space="0" w:color="auto"/>
      </w:divBdr>
    </w:div>
    <w:div w:id="677922976">
      <w:bodyDiv w:val="1"/>
      <w:marLeft w:val="0"/>
      <w:marRight w:val="0"/>
      <w:marTop w:val="0"/>
      <w:marBottom w:val="0"/>
      <w:divBdr>
        <w:top w:val="none" w:sz="0" w:space="0" w:color="auto"/>
        <w:left w:val="none" w:sz="0" w:space="0" w:color="auto"/>
        <w:bottom w:val="none" w:sz="0" w:space="0" w:color="auto"/>
        <w:right w:val="none" w:sz="0" w:space="0" w:color="auto"/>
      </w:divBdr>
    </w:div>
    <w:div w:id="759109032">
      <w:bodyDiv w:val="1"/>
      <w:marLeft w:val="0"/>
      <w:marRight w:val="0"/>
      <w:marTop w:val="0"/>
      <w:marBottom w:val="0"/>
      <w:divBdr>
        <w:top w:val="none" w:sz="0" w:space="0" w:color="auto"/>
        <w:left w:val="none" w:sz="0" w:space="0" w:color="auto"/>
        <w:bottom w:val="none" w:sz="0" w:space="0" w:color="auto"/>
        <w:right w:val="none" w:sz="0" w:space="0" w:color="auto"/>
      </w:divBdr>
    </w:div>
    <w:div w:id="845482153">
      <w:bodyDiv w:val="1"/>
      <w:marLeft w:val="0"/>
      <w:marRight w:val="0"/>
      <w:marTop w:val="0"/>
      <w:marBottom w:val="0"/>
      <w:divBdr>
        <w:top w:val="none" w:sz="0" w:space="0" w:color="auto"/>
        <w:left w:val="none" w:sz="0" w:space="0" w:color="auto"/>
        <w:bottom w:val="none" w:sz="0" w:space="0" w:color="auto"/>
        <w:right w:val="none" w:sz="0" w:space="0" w:color="auto"/>
      </w:divBdr>
    </w:div>
    <w:div w:id="941378343">
      <w:bodyDiv w:val="1"/>
      <w:marLeft w:val="0"/>
      <w:marRight w:val="0"/>
      <w:marTop w:val="0"/>
      <w:marBottom w:val="0"/>
      <w:divBdr>
        <w:top w:val="none" w:sz="0" w:space="0" w:color="auto"/>
        <w:left w:val="none" w:sz="0" w:space="0" w:color="auto"/>
        <w:bottom w:val="none" w:sz="0" w:space="0" w:color="auto"/>
        <w:right w:val="none" w:sz="0" w:space="0" w:color="auto"/>
      </w:divBdr>
    </w:div>
    <w:div w:id="998388953">
      <w:bodyDiv w:val="1"/>
      <w:marLeft w:val="0"/>
      <w:marRight w:val="0"/>
      <w:marTop w:val="0"/>
      <w:marBottom w:val="0"/>
      <w:divBdr>
        <w:top w:val="none" w:sz="0" w:space="0" w:color="auto"/>
        <w:left w:val="none" w:sz="0" w:space="0" w:color="auto"/>
        <w:bottom w:val="none" w:sz="0" w:space="0" w:color="auto"/>
        <w:right w:val="none" w:sz="0" w:space="0" w:color="auto"/>
      </w:divBdr>
    </w:div>
    <w:div w:id="1192524605">
      <w:bodyDiv w:val="1"/>
      <w:marLeft w:val="0"/>
      <w:marRight w:val="0"/>
      <w:marTop w:val="0"/>
      <w:marBottom w:val="0"/>
      <w:divBdr>
        <w:top w:val="none" w:sz="0" w:space="0" w:color="auto"/>
        <w:left w:val="none" w:sz="0" w:space="0" w:color="auto"/>
        <w:bottom w:val="none" w:sz="0" w:space="0" w:color="auto"/>
        <w:right w:val="none" w:sz="0" w:space="0" w:color="auto"/>
      </w:divBdr>
    </w:div>
    <w:div w:id="1893884106">
      <w:bodyDiv w:val="1"/>
      <w:marLeft w:val="0"/>
      <w:marRight w:val="0"/>
      <w:marTop w:val="0"/>
      <w:marBottom w:val="0"/>
      <w:divBdr>
        <w:top w:val="none" w:sz="0" w:space="0" w:color="auto"/>
        <w:left w:val="none" w:sz="0" w:space="0" w:color="auto"/>
        <w:bottom w:val="none" w:sz="0" w:space="0" w:color="auto"/>
        <w:right w:val="none" w:sz="0" w:space="0" w:color="auto"/>
      </w:divBdr>
    </w:div>
    <w:div w:id="18979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1970</Words>
  <Characters>10641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SEDU</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Fleger Kuster</dc:creator>
  <cp:keywords/>
  <dc:description/>
  <cp:lastModifiedBy>Laiza Sulti Medeiros</cp:lastModifiedBy>
  <cp:revision>3</cp:revision>
  <cp:lastPrinted>2024-08-23T17:20:00Z</cp:lastPrinted>
  <dcterms:created xsi:type="dcterms:W3CDTF">2025-02-04T13:34:00Z</dcterms:created>
  <dcterms:modified xsi:type="dcterms:W3CDTF">2025-02-07T13:31:00Z</dcterms:modified>
</cp:coreProperties>
</file>