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5A7DA4" w14:paraId="6DC4CD6C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73826E0D" w14:textId="77777777" w:rsidR="005A7DA4" w:rsidRDefault="00D7765B" w:rsidP="00985FC8">
            <w:pPr>
              <w:tabs>
                <w:tab w:val="left" w:pos="510"/>
                <w:tab w:val="center" w:pos="4496"/>
              </w:tabs>
              <w:spacing w:before="120" w:after="120"/>
              <w:jc w:val="both"/>
              <w:rPr>
                <w:rFonts w:ascii="Arial Black" w:hAnsi="Arial Black" w:cs="Arial"/>
                <w:b/>
                <w:bCs/>
                <w:color w:val="FFFFFF"/>
              </w:rPr>
            </w:pPr>
            <w:r>
              <w:rPr>
                <w:rFonts w:ascii="Arial Black" w:hAnsi="Arial Black" w:cs="Arial"/>
                <w:b/>
                <w:bCs/>
                <w:color w:val="FFFFFF"/>
              </w:rPr>
              <w:tab/>
            </w:r>
            <w:r>
              <w:rPr>
                <w:rFonts w:ascii="Arial Black" w:hAnsi="Arial Black" w:cs="Arial"/>
                <w:b/>
                <w:bCs/>
                <w:color w:val="FFFFFF"/>
              </w:rPr>
              <w:tab/>
              <w:t>NORMA DE PROCEDIMENTO –  Nº 022</w:t>
            </w:r>
          </w:p>
        </w:tc>
      </w:tr>
    </w:tbl>
    <w:p w14:paraId="3209AD3C" w14:textId="77777777" w:rsidR="005A7DA4" w:rsidRDefault="005A7DA4" w:rsidP="00985FC8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709"/>
        <w:gridCol w:w="2298"/>
        <w:gridCol w:w="2239"/>
        <w:gridCol w:w="425"/>
        <w:gridCol w:w="851"/>
        <w:gridCol w:w="283"/>
        <w:gridCol w:w="1132"/>
      </w:tblGrid>
      <w:tr w:rsidR="005A7DA4" w14:paraId="319F7CA8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9A29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Tema: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D5B0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Doação de Bens Móveis Inservíveis para Município e/ou Entidades Educacionais Filantrópicas pela SEDU</w:t>
            </w:r>
          </w:p>
        </w:tc>
      </w:tr>
      <w:tr w:rsidR="005A7DA4" w14:paraId="3765C7FA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09F4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Emitente: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B613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Secretaria de Estado da Educação – SEDU</w:t>
            </w:r>
          </w:p>
        </w:tc>
      </w:tr>
      <w:tr w:rsidR="005A7DA4" w14:paraId="745128D9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89D3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Sistema: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52D9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</w:rPr>
              <w:t>SEC - Sistema de Educação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81796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Código: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BDA5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SEC - 022 </w:t>
            </w:r>
          </w:p>
        </w:tc>
      </w:tr>
      <w:tr w:rsidR="005A7DA4" w14:paraId="64123444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F8BA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Versão: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E6FD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001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5593" w14:textId="77777777" w:rsidR="005A7DA4" w:rsidRDefault="00D7765B" w:rsidP="00985FC8">
            <w:pPr>
              <w:spacing w:before="40" w:after="40"/>
              <w:ind w:right="-108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Aprovação: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9DD4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Portaria nº 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950D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Vigência: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CEB2" w14:textId="77777777" w:rsidR="005A7DA4" w:rsidRDefault="00D7765B" w:rsidP="00985FC8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</w:tbl>
    <w:p w14:paraId="296BF7FC" w14:textId="77777777" w:rsidR="005A7DA4" w:rsidRDefault="005A7DA4" w:rsidP="00985FC8">
      <w:pPr>
        <w:spacing w:before="120"/>
        <w:jc w:val="both"/>
        <w:rPr>
          <w:rFonts w:ascii="Arial" w:hAnsi="Arial" w:cs="Arial"/>
          <w:b/>
          <w:bCs/>
          <w:color w:val="000000"/>
        </w:rPr>
      </w:pPr>
    </w:p>
    <w:p w14:paraId="2E154BE0" w14:textId="77777777" w:rsidR="005A7DA4" w:rsidRDefault="00D7765B" w:rsidP="00985FC8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OBJETIVO</w:t>
      </w:r>
    </w:p>
    <w:p w14:paraId="020C953D" w14:textId="77777777" w:rsidR="005A7DA4" w:rsidRPr="00B3505F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bookmarkStart w:id="0" w:name="_Hlk101531194"/>
      <w:r w:rsidRPr="00B3505F">
        <w:rPr>
          <w:rFonts w:ascii="Arial" w:hAnsi="Arial" w:cs="Arial"/>
        </w:rPr>
        <w:t xml:space="preserve">Estabelecer procedimentos </w:t>
      </w:r>
      <w:bookmarkEnd w:id="0"/>
      <w:r w:rsidRPr="00B3505F">
        <w:rPr>
          <w:rFonts w:ascii="Arial" w:hAnsi="Arial" w:cs="Arial"/>
        </w:rPr>
        <w:t xml:space="preserve">para a doação de bens móveis inservíveis para municípios e/ou entidades educacionais filantrópicas pela Secretaria de Estado da Educação - SEDU. </w:t>
      </w:r>
    </w:p>
    <w:p w14:paraId="37C5F5DD" w14:textId="77777777" w:rsidR="005A7DA4" w:rsidRPr="00B3505F" w:rsidRDefault="00D7765B" w:rsidP="00985FC8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B3505F">
        <w:rPr>
          <w:rFonts w:ascii="Arial" w:hAnsi="Arial" w:cs="Arial"/>
          <w:b/>
          <w:bCs/>
          <w:color w:val="000000"/>
        </w:rPr>
        <w:t>ABRANGÊNCIA</w:t>
      </w:r>
    </w:p>
    <w:p w14:paraId="4075FBAD" w14:textId="77777777" w:rsidR="005A7DA4" w:rsidRPr="00B3505F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 w:rsidRPr="00B3505F">
        <w:rPr>
          <w:rFonts w:ascii="Arial" w:hAnsi="Arial" w:cs="Arial"/>
          <w:color w:val="000000"/>
        </w:rPr>
        <w:t>Unidade Central da SEDU;</w:t>
      </w:r>
    </w:p>
    <w:p w14:paraId="0944E4E8" w14:textId="77777777" w:rsidR="005A7DA4" w:rsidRPr="00B3505F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 w:rsidRPr="00B3505F">
        <w:rPr>
          <w:rFonts w:ascii="Arial" w:hAnsi="Arial" w:cs="Arial"/>
        </w:rPr>
        <w:t>Superintendências Regionais de Educação - SREs;</w:t>
      </w:r>
    </w:p>
    <w:p w14:paraId="330E4F94" w14:textId="77777777" w:rsidR="005A7DA4" w:rsidRPr="00B3505F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 w:rsidRPr="00B3505F">
        <w:rPr>
          <w:rFonts w:ascii="Arial" w:hAnsi="Arial" w:cs="Arial"/>
          <w:color w:val="000000"/>
        </w:rPr>
        <w:t>Unidades escolares da rede escolar pública estadual do Espírito Santo;</w:t>
      </w:r>
    </w:p>
    <w:p w14:paraId="470FBC8D" w14:textId="77777777" w:rsidR="005A7DA4" w:rsidRPr="00B3505F" w:rsidRDefault="00D7765B" w:rsidP="00985FC8">
      <w:pPr>
        <w:numPr>
          <w:ilvl w:val="1"/>
          <w:numId w:val="2"/>
        </w:numPr>
        <w:ind w:left="0" w:firstLine="0"/>
        <w:jc w:val="both"/>
      </w:pPr>
      <w:r w:rsidRPr="00B3505F">
        <w:rPr>
          <w:rFonts w:ascii="Arial" w:hAnsi="Arial" w:cs="Arial"/>
          <w:color w:val="000000"/>
        </w:rPr>
        <w:t>Conselho Estadual de Educação – CEE.</w:t>
      </w:r>
    </w:p>
    <w:p w14:paraId="41C15A9E" w14:textId="77777777" w:rsidR="005A7DA4" w:rsidRPr="00B3505F" w:rsidRDefault="00D7765B" w:rsidP="00985FC8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B3505F">
        <w:rPr>
          <w:rFonts w:ascii="Arial" w:hAnsi="Arial" w:cs="Arial"/>
          <w:b/>
          <w:bCs/>
          <w:color w:val="000000"/>
        </w:rPr>
        <w:t>FUNDAMENTAÇÃO LEGAL</w:t>
      </w:r>
    </w:p>
    <w:p w14:paraId="31BE40BB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 w:rsidRPr="00B3505F">
        <w:rPr>
          <w:rFonts w:ascii="Arial" w:hAnsi="Arial" w:cs="Arial"/>
        </w:rPr>
        <w:t>Resolução CEE n° 3777/2014, que fixa normas para a Educação no Sistema</w:t>
      </w:r>
      <w:r>
        <w:rPr>
          <w:rFonts w:ascii="Arial" w:hAnsi="Arial" w:cs="Arial"/>
        </w:rPr>
        <w:t xml:space="preserve"> de Ensino do Estado do Espírito Santo e dá outras providências;</w:t>
      </w:r>
    </w:p>
    <w:p w14:paraId="6AC61DE6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Lei Complementar nº 390, de 11 de maio de 2007, que reorganiza a estrutura organizacional básica da Secretaria de Estado da Educação – SEDU e dá outras providências;</w:t>
      </w:r>
    </w:p>
    <w:p w14:paraId="4D75E3D6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Decreto Estadual nº 1110-R, de 12 de dezembro de 2002, que aprova Normas do Sistema de Administração Patrimonial do Estado, regulamentando a Lei nº 2.583, de 12 de março de 1971,</w:t>
      </w:r>
      <w:r>
        <w:rPr>
          <w:rFonts w:ascii="Arial" w:hAnsi="Arial" w:cs="Arial"/>
          <w:color w:val="548DD4" w:themeColor="text2" w:themeTint="99"/>
        </w:rPr>
        <w:t xml:space="preserve"> </w:t>
      </w:r>
      <w:r>
        <w:rPr>
          <w:rFonts w:ascii="Arial" w:hAnsi="Arial" w:cs="Arial"/>
        </w:rPr>
        <w:t>e disciplina a administração patrimonial de bens corpóreos móveis do Estado do Espírito Santo, suas Autarquias e Fundações Públicas, no que couber;</w:t>
      </w:r>
    </w:p>
    <w:p w14:paraId="3EB25625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Decreto Estadual </w:t>
      </w:r>
      <w:r>
        <w:rPr>
          <w:rFonts w:ascii="Arial" w:eastAsiaTheme="minorHAnsi" w:hAnsi="Arial" w:cs="Arial"/>
          <w:lang w:eastAsia="en-US"/>
        </w:rPr>
        <w:t>nº 2.340-R, de 26 de agosto de 2009, que institui o Sistema Integrado de Gestão Administrativa – SIGA;</w:t>
      </w:r>
    </w:p>
    <w:p w14:paraId="5A9F9544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Decreto Estadual nº 4.410-R, de 22 de abril de 2019, que dispõe sobre o uso do meio eletrônico para a realização de processo administrativo no âmbito dos órgãos e das entidades do Poder Executivo Estadual;</w:t>
      </w:r>
    </w:p>
    <w:p w14:paraId="372E4B03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</w:pPr>
      <w:r>
        <w:rPr>
          <w:rFonts w:ascii="Arial" w:eastAsiaTheme="minorHAnsi" w:hAnsi="Arial" w:cs="Arial"/>
          <w:lang w:eastAsia="en-US"/>
        </w:rPr>
        <w:t>Decreto Estadual nº 4411-R, de 22 de abril de 2019, que institui o Sistema de Gestão de Documentos Arquivísticos Eletrônicos - E-Docs.</w:t>
      </w:r>
      <w:bookmarkStart w:id="1" w:name="_Hlk101531425"/>
      <w:bookmarkEnd w:id="1"/>
    </w:p>
    <w:p w14:paraId="06008EDB" w14:textId="77777777" w:rsidR="005A7DA4" w:rsidRDefault="00D7765B" w:rsidP="00985FC8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</w:pPr>
      <w:r>
        <w:rPr>
          <w:rFonts w:ascii="Arial" w:hAnsi="Arial" w:cs="Arial"/>
          <w:b/>
          <w:bCs/>
        </w:rPr>
        <w:t>DEFINIÇÕES</w:t>
      </w:r>
    </w:p>
    <w:p w14:paraId="5E751616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AE03 – Assessoria Especial Jurídica;</w:t>
      </w:r>
    </w:p>
    <w:p w14:paraId="4CDD427A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CAUC – Serviço Auxiliar de Informações para Transferências Voluntárias, instituído pela Instrução Normativa nº 2, de 02 de fevereiro de 2012;</w:t>
      </w:r>
    </w:p>
    <w:p w14:paraId="5F4C1F28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CEE – Conselho Estadual de Educação;</w:t>
      </w:r>
    </w:p>
    <w:p w14:paraId="06541D66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CND – Certidão Negativa de Débitos (</w:t>
      </w:r>
      <w:r>
        <w:rPr>
          <w:rFonts w:ascii="Arial" w:hAnsi="Arial" w:cs="Arial"/>
          <w:shd w:val="clear" w:color="auto" w:fill="FFFFFF"/>
        </w:rPr>
        <w:t>é um documento emitido por qualquer órgão do governo que confirma não haver pendências financeiras ou processuais em nome dessa pessoa física, jurídica ou mesmo de um bem);</w:t>
      </w:r>
    </w:p>
    <w:p w14:paraId="63F879B1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CRP – Demonstrativo Previdenciário;</w:t>
      </w:r>
    </w:p>
    <w:p w14:paraId="4E615883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</w:pPr>
      <w:r>
        <w:rPr>
          <w:rFonts w:ascii="Arial" w:hAnsi="Arial" w:cs="Arial"/>
        </w:rPr>
        <w:t xml:space="preserve">E-Docs – Sistema </w:t>
      </w:r>
      <w:r>
        <w:rPr>
          <w:rFonts w:ascii="Arial" w:hAnsi="Arial" w:cs="Arial"/>
          <w:bCs/>
        </w:rPr>
        <w:t xml:space="preserve">de Gestão de Documentos Arquivísticos Eletrônicos do Governo do Estado; </w:t>
      </w:r>
    </w:p>
    <w:p w14:paraId="078D71EF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GA – Grupo Administrativo;</w:t>
      </w:r>
    </w:p>
    <w:p w14:paraId="58589738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GEAD – Gerência Administrativa;</w:t>
      </w:r>
    </w:p>
    <w:p w14:paraId="59AE1E6D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GECON – Gerência de Contratos e Convênios;</w:t>
      </w:r>
    </w:p>
    <w:p w14:paraId="07D228B2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GFS – Grupo Financeiro Setorial;</w:t>
      </w:r>
    </w:p>
    <w:p w14:paraId="246FFA20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Ordenador de Despesas/Autoridade Competente – A quem compete autorizar a realização de procedimentos com vistas à formalização do Termo de Doação;</w:t>
      </w:r>
    </w:p>
    <w:p w14:paraId="76DB5FB5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SALMOX– Subgerência de Almoxarifado;</w:t>
      </w:r>
    </w:p>
    <w:p w14:paraId="58F3AAE6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SEDU – Secretaria de Estado da Educação;</w:t>
      </w:r>
    </w:p>
    <w:p w14:paraId="16F0150C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SEGER – Secretaria de Estado de Gestão e Recursos Humanos;</w:t>
      </w:r>
    </w:p>
    <w:p w14:paraId="13641885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Setor responsável pelo objeto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– Setor que realizou a aquisição dos bens móveis;</w:t>
      </w:r>
    </w:p>
    <w:p w14:paraId="020D71C6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SIGA – Sistema Integrado de Gestão Administrativa do Governo do Estado do Espírito Santo – Sistema de informações que possibilita a gestão centralizada das atividades administrativas de todos os Órgãos da Administração Direta e Indireta do Poder</w:t>
      </w:r>
      <w:r>
        <w:rPr>
          <w:rFonts w:ascii="Arial" w:eastAsiaTheme="minorHAnsi" w:hAnsi="Arial" w:cs="Arial"/>
          <w:lang w:eastAsia="en-US"/>
        </w:rPr>
        <w:t xml:space="preserve"> Executivo do Estado, de utilização obrigatória;</w:t>
      </w:r>
    </w:p>
    <w:p w14:paraId="58D26908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Termo de Doação – É o documento utilizado para a operação de doação, emitido por meio do Sistema Integrado de Gestão Administrativa – SIGA;</w:t>
      </w:r>
    </w:p>
    <w:p w14:paraId="1B144947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</w:pPr>
      <w:r>
        <w:rPr>
          <w:rFonts w:ascii="Arial" w:hAnsi="Arial" w:cs="Arial"/>
        </w:rPr>
        <w:t>UO – Unidade Organizacional compreendendo os setores da unidade central da SEDU, as escolas, as Superintendências Regionais de Educação, os Setores Arquivo e Galpão/SEDU</w:t>
      </w:r>
      <w:r>
        <w:rPr>
          <w:rStyle w:val="Refdecomentrio"/>
          <w:rFonts w:ascii="Arial" w:hAnsi="Arial" w:cs="Arial"/>
          <w:sz w:val="24"/>
          <w:szCs w:val="24"/>
          <w:lang w:val="x-none"/>
        </w:rPr>
        <w:t xml:space="preserve">, </w:t>
      </w:r>
      <w:r>
        <w:rPr>
          <w:rFonts w:ascii="Arial" w:hAnsi="Arial" w:cs="Arial"/>
        </w:rPr>
        <w:t xml:space="preserve">CEE. </w:t>
      </w:r>
    </w:p>
    <w:p w14:paraId="744BEC73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</w:pPr>
      <w:r>
        <w:rPr>
          <w:rFonts w:ascii="Arial" w:hAnsi="Arial" w:cs="Arial"/>
        </w:rPr>
        <w:t>TCE/ES – Tribunal de Contas do Estado do Espírito Santo.</w:t>
      </w:r>
    </w:p>
    <w:p w14:paraId="1FBAF8CE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</w:pPr>
      <w:r>
        <w:rPr>
          <w:rFonts w:ascii="Arial" w:hAnsi="Arial" w:cs="Arial"/>
        </w:rPr>
        <w:t>DIO/ES – Diário Oficial do Estado do Espírito Santo.</w:t>
      </w:r>
    </w:p>
    <w:p w14:paraId="62E7C895" w14:textId="77777777" w:rsidR="005A7DA4" w:rsidRDefault="00D7765B" w:rsidP="00985FC8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UNIDADES FUNCIONAIS ENVOLVIDAS</w:t>
      </w:r>
    </w:p>
    <w:p w14:paraId="7106DC7C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GEAD;</w:t>
      </w:r>
    </w:p>
    <w:p w14:paraId="2F457184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GFS;</w:t>
      </w:r>
    </w:p>
    <w:p w14:paraId="1620A128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SALMOX; </w:t>
      </w:r>
    </w:p>
    <w:p w14:paraId="7CD34AF4" w14:textId="77777777" w:rsidR="005A7DA4" w:rsidRDefault="00D7765B" w:rsidP="00985FC8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UO.</w:t>
      </w:r>
    </w:p>
    <w:p w14:paraId="50EF6129" w14:textId="77777777" w:rsidR="005A7DA4" w:rsidRDefault="00D7765B" w:rsidP="00985FC8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PROCEDIMENTOS </w:t>
      </w:r>
      <w:bookmarkStart w:id="2" w:name="_Toc270081694"/>
    </w:p>
    <w:p w14:paraId="0A6F38BD" w14:textId="77777777" w:rsidR="005A7DA4" w:rsidRDefault="00D7765B" w:rsidP="00985FC8">
      <w:pPr>
        <w:jc w:val="both"/>
        <w:rPr>
          <w:rFonts w:ascii="Arial" w:hAnsi="Arial" w:cs="Arial"/>
        </w:rPr>
      </w:pPr>
      <w:bookmarkStart w:id="3" w:name="_Toc270081695"/>
      <w:bookmarkEnd w:id="2"/>
      <w:bookmarkEnd w:id="3"/>
      <w:r>
        <w:rPr>
          <w:rFonts w:ascii="Arial" w:hAnsi="Arial" w:cs="Arial"/>
        </w:rPr>
        <w:t>O processo de Doação de Bens Móveis Inservíveis</w:t>
      </w:r>
      <w:r>
        <w:rPr>
          <w:rFonts w:ascii="Arial" w:hAnsi="Arial" w:cs="Arial"/>
          <w:bCs/>
          <w:sz w:val="22"/>
        </w:rPr>
        <w:t xml:space="preserve"> provém</w:t>
      </w:r>
      <w:r>
        <w:rPr>
          <w:rFonts w:ascii="Arial" w:hAnsi="Arial" w:cs="Arial"/>
        </w:rPr>
        <w:t xml:space="preserve"> da necessidade da unidade escolar ou administrativa de desfazimento dos bens.</w:t>
      </w:r>
    </w:p>
    <w:p w14:paraId="67E07224" w14:textId="77777777" w:rsidR="005A7DA4" w:rsidRDefault="005A7DA4" w:rsidP="00985FC8">
      <w:pPr>
        <w:jc w:val="both"/>
        <w:rPr>
          <w:rFonts w:ascii="Arial" w:hAnsi="Arial" w:cs="Arial"/>
        </w:rPr>
      </w:pPr>
    </w:p>
    <w:p w14:paraId="2887B3DC" w14:textId="77777777" w:rsidR="005A7DA4" w:rsidRDefault="00D7765B" w:rsidP="00985FC8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 procedimento inicia-se com a identificação de interesse por parte de municípios e/ou de entidades educacionais filantrópicas (APAE/PESTALOZZI/Escola Família Agrícola).</w:t>
      </w:r>
    </w:p>
    <w:p w14:paraId="790BBE28" w14:textId="77777777" w:rsidR="005A7DA4" w:rsidRDefault="005A7DA4" w:rsidP="00985FC8">
      <w:pPr>
        <w:jc w:val="both"/>
        <w:rPr>
          <w:rFonts w:ascii="Arial" w:hAnsi="Arial" w:cs="Arial"/>
        </w:rPr>
      </w:pPr>
    </w:p>
    <w:p w14:paraId="528B106C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 forma, as atividades subsequentes serão executadas conforme os procedimentos elencados a seguir: </w:t>
      </w:r>
    </w:p>
    <w:p w14:paraId="3C01DDDF" w14:textId="77777777" w:rsidR="005A7DA4" w:rsidRDefault="005A7DA4" w:rsidP="00985FC8">
      <w:pPr>
        <w:jc w:val="both"/>
        <w:rPr>
          <w:rFonts w:ascii="Arial" w:hAnsi="Arial" w:cs="Arial"/>
        </w:rPr>
      </w:pPr>
    </w:p>
    <w:p w14:paraId="2EA9774C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6.1. DOAÇÃO PARA MUNICÍPIO </w:t>
      </w:r>
    </w:p>
    <w:p w14:paraId="36527CCC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158A5DF4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6.1.1.  Consultar interesse do município </w:t>
      </w:r>
    </w:p>
    <w:p w14:paraId="784303D2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UO doadora, por meio de representante ou responsável, deve consultar o município, por e-mail, sobre interesse em receber os bens móveis inservíveis.</w:t>
      </w:r>
    </w:p>
    <w:p w14:paraId="3DF6999B" w14:textId="77777777" w:rsidR="005A7DA4" w:rsidRDefault="005A7DA4" w:rsidP="00985FC8">
      <w:pPr>
        <w:jc w:val="both"/>
        <w:rPr>
          <w:rFonts w:ascii="Arial" w:hAnsi="Arial" w:cs="Arial"/>
        </w:rPr>
      </w:pPr>
    </w:p>
    <w:p w14:paraId="386FB523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Deve aguardar e-mail com manifestação do município.</w:t>
      </w:r>
    </w:p>
    <w:p w14:paraId="3084D3C9" w14:textId="7D504317" w:rsidR="005A7DA4" w:rsidRDefault="00D7765B" w:rsidP="00985FC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lastRenderedPageBreak/>
        <w:t>6.1.2.  Analisar manifestação e segregar bens</w:t>
      </w:r>
      <w:r w:rsidR="006C5E6A">
        <w:rPr>
          <w:rFonts w:ascii="Arial" w:hAnsi="Arial" w:cs="Arial"/>
          <w:b/>
        </w:rPr>
        <w:t xml:space="preserve"> </w:t>
      </w:r>
    </w:p>
    <w:p w14:paraId="72BD9837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UO doadora, por meio de representante ou responsável, deve analisar manifestação enviada pelo município e segregar os bens a serem doados.</w:t>
      </w:r>
    </w:p>
    <w:p w14:paraId="6E8559C8" w14:textId="77777777" w:rsidR="005A7DA4" w:rsidRDefault="005A7DA4" w:rsidP="00985FC8">
      <w:pPr>
        <w:jc w:val="both"/>
        <w:rPr>
          <w:rFonts w:ascii="Arial" w:hAnsi="Arial" w:cs="Arial"/>
        </w:rPr>
      </w:pPr>
    </w:p>
    <w:p w14:paraId="0CD24BC4" w14:textId="77777777" w:rsidR="005A7DA4" w:rsidRDefault="00D7765B" w:rsidP="00985FC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6.1.3.  Relacionar bens segregados</w:t>
      </w:r>
    </w:p>
    <w:p w14:paraId="7AB14649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UO doadora, por meio de representante ou responsável, deve relacionar bens segregados, encaminhar ao requerente para providenciar documentos relativos à doação. </w:t>
      </w:r>
    </w:p>
    <w:p w14:paraId="7DE26589" w14:textId="77777777" w:rsidR="005A7DA4" w:rsidRDefault="005A7DA4" w:rsidP="00985FC8">
      <w:pPr>
        <w:jc w:val="both"/>
        <w:rPr>
          <w:rFonts w:ascii="Arial" w:hAnsi="Arial" w:cs="Arial"/>
        </w:rPr>
      </w:pPr>
    </w:p>
    <w:p w14:paraId="715E4542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município, por meio de representante ou responsável, deve:</w:t>
      </w:r>
    </w:p>
    <w:p w14:paraId="4893E4FF" w14:textId="77777777" w:rsidR="005A7DA4" w:rsidRDefault="00D7765B" w:rsidP="00985FC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a UO doadora, por e-mail, nome e CPF do servidor municipal designado a receber os bens doados;</w:t>
      </w:r>
    </w:p>
    <w:p w14:paraId="6CC4D364" w14:textId="77777777" w:rsidR="005A7DA4" w:rsidRDefault="00D7765B" w:rsidP="00985FC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encaminhar no sistema e-Docs para formalização do interesse no recebimento dos bens móveis inservíveis:</w:t>
      </w:r>
    </w:p>
    <w:p w14:paraId="55EE8B7A" w14:textId="77777777" w:rsidR="005A7DA4" w:rsidRDefault="00D7765B" w:rsidP="00985F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Ofício endereçado ao Secretário de Estado da Educação;</w:t>
      </w:r>
    </w:p>
    <w:p w14:paraId="3B69B3BE" w14:textId="77777777" w:rsidR="005A7DA4" w:rsidRDefault="00D7765B" w:rsidP="00985F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Relatório de Bens de interesse;</w:t>
      </w:r>
    </w:p>
    <w:p w14:paraId="6121537E" w14:textId="77777777" w:rsidR="005A7DA4" w:rsidRDefault="00D7765B" w:rsidP="00985F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Documentação do representante legal da entidade, CNDs válidas, inclusive do TCEES, CRP, CAUC, declarações de regularidade referente à prestação de contas, ao pagamento de empréstimos, financiamentos e atendimento à disponibilização do acesso a informações.</w:t>
      </w:r>
    </w:p>
    <w:p w14:paraId="568CEFF3" w14:textId="77777777" w:rsidR="005A7DA4" w:rsidRDefault="005A7DA4" w:rsidP="00985FC8">
      <w:pPr>
        <w:jc w:val="both"/>
        <w:rPr>
          <w:rFonts w:ascii="Arial" w:hAnsi="Arial" w:cs="Arial"/>
        </w:rPr>
      </w:pPr>
    </w:p>
    <w:p w14:paraId="77DE1BAF" w14:textId="77777777" w:rsidR="005A7DA4" w:rsidRPr="007D5E13" w:rsidRDefault="00D7765B" w:rsidP="00985FC8">
      <w:pPr>
        <w:jc w:val="both"/>
        <w:rPr>
          <w:rFonts w:ascii="Arial" w:hAnsi="Arial" w:cs="Arial"/>
        </w:rPr>
      </w:pPr>
      <w:r w:rsidRPr="007D5E13">
        <w:rPr>
          <w:rFonts w:ascii="Arial" w:hAnsi="Arial" w:cs="Arial"/>
        </w:rPr>
        <w:t xml:space="preserve">No ato do encaminhamento deve adicionar como destinatário o setor em que o Ordenador de Despesas se encontra localizado. </w:t>
      </w:r>
    </w:p>
    <w:p w14:paraId="1ED903AF" w14:textId="77777777" w:rsidR="005A7DA4" w:rsidRDefault="005A7DA4" w:rsidP="00985FC8">
      <w:pPr>
        <w:pStyle w:val="PargrafodaLista"/>
        <w:ind w:left="790"/>
        <w:jc w:val="both"/>
        <w:rPr>
          <w:rFonts w:ascii="Arial" w:hAnsi="Arial" w:cs="Arial"/>
        </w:rPr>
      </w:pPr>
    </w:p>
    <w:p w14:paraId="066F14D6" w14:textId="77777777" w:rsidR="005A7DA4" w:rsidRDefault="00D7765B" w:rsidP="00985FC8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orientações para uso do E-Docs pelo cidadão, ver item </w:t>
      </w:r>
      <w:r>
        <w:rPr>
          <w:rFonts w:ascii="Arial" w:hAnsi="Arial" w:cs="Arial"/>
          <w:b/>
        </w:rPr>
        <w:t>9.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INFORMAÇÕES ADICIONAIS,</w:t>
      </w:r>
      <w:r>
        <w:rPr>
          <w:rFonts w:ascii="Arial" w:hAnsi="Arial" w:cs="Arial"/>
        </w:rPr>
        <w:t xml:space="preserve"> desta Norma.</w:t>
      </w:r>
    </w:p>
    <w:p w14:paraId="6E7F1B6C" w14:textId="77777777" w:rsidR="005A7DA4" w:rsidRDefault="00D7765B" w:rsidP="00985FC8">
      <w:pPr>
        <w:pStyle w:val="Pargrafoda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4BFB98" w14:textId="77777777" w:rsidR="005A7DA4" w:rsidRDefault="00D7765B" w:rsidP="00985FC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6.1.4.  Dar ciência e de acordo</w:t>
      </w:r>
    </w:p>
    <w:p w14:paraId="06FFA55A" w14:textId="0DF7F844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Ordenador de Despesas deve validar as Certidões Negativas no</w:t>
      </w:r>
      <w:r w:rsidRPr="006E1E9A">
        <w:rPr>
          <w:rFonts w:ascii="Arial" w:hAnsi="Arial" w:cs="Arial"/>
        </w:rPr>
        <w:t xml:space="preserve"> </w:t>
      </w:r>
      <w:r w:rsidR="00CF1F64" w:rsidRPr="006E1E9A">
        <w:rPr>
          <w:rFonts w:ascii="Arial" w:hAnsi="Arial" w:cs="Arial"/>
        </w:rPr>
        <w:t xml:space="preserve">campo </w:t>
      </w:r>
      <w:r>
        <w:rPr>
          <w:rFonts w:ascii="Arial" w:hAnsi="Arial" w:cs="Arial"/>
        </w:rPr>
        <w:t xml:space="preserve">“ELABORAR” do sistema E-Docs, preenchendo o modelo padrão de Validação de Documentos. Deve reencaminhar à área responsável pelo objeto para manifestação o encaminhamento recebido do município juntamente à validação das certidões, dando ciência e de acordo. </w:t>
      </w:r>
    </w:p>
    <w:p w14:paraId="18772AD7" w14:textId="77777777" w:rsidR="005A7DA4" w:rsidRDefault="005A7DA4" w:rsidP="00985FC8">
      <w:pPr>
        <w:jc w:val="both"/>
        <w:rPr>
          <w:rFonts w:ascii="Arial" w:hAnsi="Arial" w:cs="Arial"/>
          <w:i/>
        </w:rPr>
      </w:pPr>
    </w:p>
    <w:p w14:paraId="2EB335F9" w14:textId="77777777" w:rsidR="005A7DA4" w:rsidRDefault="00D7765B" w:rsidP="00985FC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6.1.5.  Realizar manifestação</w:t>
      </w:r>
    </w:p>
    <w:p w14:paraId="2C2A7051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área responsável pelo objeto, por meio de representante ou responsável, deve manifestar-se no encaminhamento recebido no sistema E-Docs e enviar à SALMOX para análise. </w:t>
      </w:r>
    </w:p>
    <w:p w14:paraId="7323AB9D" w14:textId="77777777" w:rsidR="005A7DA4" w:rsidRDefault="00D7765B" w:rsidP="00985FC8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 xml:space="preserve"> </w:t>
      </w:r>
    </w:p>
    <w:p w14:paraId="3A7B9E39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6.1.6.  Analisar manifestação</w:t>
      </w:r>
    </w:p>
    <w:p w14:paraId="3371B1AC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analisar o encaminhamento e verificar se houve manifestação favorável ou desfavorável do Ordenador de Despesas e da Área Responsável à doação dos bens móveis.</w:t>
      </w:r>
    </w:p>
    <w:p w14:paraId="2BB9D978" w14:textId="77777777" w:rsidR="005A7DA4" w:rsidRDefault="005A7DA4" w:rsidP="00985FC8">
      <w:pPr>
        <w:jc w:val="both"/>
        <w:rPr>
          <w:rFonts w:ascii="Arial" w:hAnsi="Arial" w:cs="Arial"/>
        </w:rPr>
      </w:pPr>
    </w:p>
    <w:p w14:paraId="13D89D19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caso de manifestação favorável, deve-se seguir para o item 6.1.8.</w:t>
      </w:r>
    </w:p>
    <w:p w14:paraId="780F8D03" w14:textId="77777777" w:rsidR="005A7DA4" w:rsidRDefault="005A7DA4" w:rsidP="00985FC8">
      <w:pPr>
        <w:jc w:val="both"/>
        <w:rPr>
          <w:rFonts w:ascii="Arial" w:hAnsi="Arial" w:cs="Arial"/>
        </w:rPr>
      </w:pPr>
    </w:p>
    <w:p w14:paraId="07A1B07E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manifestação desfavorável, deve-se seguir para o item 6.1.7.</w:t>
      </w:r>
    </w:p>
    <w:p w14:paraId="60FC83C0" w14:textId="77777777" w:rsidR="005A7DA4" w:rsidRDefault="005A7DA4" w:rsidP="00985FC8">
      <w:pPr>
        <w:jc w:val="both"/>
        <w:rPr>
          <w:rFonts w:ascii="Arial" w:hAnsi="Arial" w:cs="Arial"/>
        </w:rPr>
      </w:pPr>
    </w:p>
    <w:p w14:paraId="52573C82" w14:textId="77777777" w:rsidR="005A7DA4" w:rsidRDefault="005A7DA4" w:rsidP="00985FC8">
      <w:pPr>
        <w:jc w:val="both"/>
        <w:rPr>
          <w:rFonts w:ascii="Arial" w:hAnsi="Arial" w:cs="Arial"/>
        </w:rPr>
      </w:pPr>
    </w:p>
    <w:p w14:paraId="14FF91CC" w14:textId="3B140486" w:rsidR="005A7DA4" w:rsidRDefault="00D7765B" w:rsidP="00985FC8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</w:rPr>
        <w:lastRenderedPageBreak/>
        <w:t>6.1.7.  Oficiar ao município</w:t>
      </w:r>
    </w:p>
    <w:p w14:paraId="2B890492" w14:textId="77777777" w:rsidR="005A7DA4" w:rsidRDefault="00D7765B" w:rsidP="00985FC8">
      <w:pPr>
        <w:ind w:right="-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SALMOX, por meio de representante ou responsável, deve encaminhar Ofício pelo sistema E-Docs, comunicando indeferimento ao município solicitante. Com isso, o procedimento de solicitação de doação encerra-se. </w:t>
      </w:r>
    </w:p>
    <w:p w14:paraId="42811720" w14:textId="77777777" w:rsidR="005A7DA4" w:rsidRDefault="005A7DA4" w:rsidP="00985FC8">
      <w:pPr>
        <w:jc w:val="both"/>
        <w:rPr>
          <w:rFonts w:ascii="Arial" w:hAnsi="Arial" w:cs="Arial"/>
          <w:color w:val="FF0000"/>
        </w:rPr>
      </w:pPr>
    </w:p>
    <w:p w14:paraId="6D610867" w14:textId="77777777" w:rsidR="005A7DA4" w:rsidRDefault="00D7765B" w:rsidP="00985FC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6.1.8.  Autuar processo</w:t>
      </w:r>
    </w:p>
    <w:p w14:paraId="3E8C5932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autuar processo e entranhar encaminhamento do Ordenador de Despesas com documentação pertinente, mencionada na letra b do item 6.1.3, autorizando a doação solicitada pelo município.</w:t>
      </w:r>
    </w:p>
    <w:p w14:paraId="29469DB8" w14:textId="77777777" w:rsidR="005A7DA4" w:rsidRDefault="00D7765B" w:rsidP="00985FC8">
      <w:pPr>
        <w:tabs>
          <w:tab w:val="center" w:pos="4536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ab/>
      </w:r>
    </w:p>
    <w:p w14:paraId="151D6B6C" w14:textId="77777777" w:rsidR="005A7DA4" w:rsidRDefault="00D7765B" w:rsidP="00985FC8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</w:rPr>
        <w:t>6.1.9.  Elaborar Termo de Entrega e Recebimento de Bens</w:t>
      </w:r>
    </w:p>
    <w:p w14:paraId="24AEBDF7" w14:textId="297AAEC1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elaborar Termo de Entrega e Recebimento de Bens Móveis Inservíveis disponibilizado no sistema E-Docs, incluindo assinantes</w:t>
      </w:r>
      <w:r w:rsidR="00CF1F64">
        <w:rPr>
          <w:rFonts w:ascii="Arial" w:hAnsi="Arial" w:cs="Arial"/>
        </w:rPr>
        <w:t xml:space="preserve">, observando a seguinte sequência de assinaturas: </w:t>
      </w:r>
    </w:p>
    <w:p w14:paraId="3317543D" w14:textId="77777777" w:rsidR="005A7DA4" w:rsidRDefault="00D7765B" w:rsidP="00985F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Primeira: Servidor da UO doadora;</w:t>
      </w:r>
    </w:p>
    <w:p w14:paraId="21078A05" w14:textId="36334E32" w:rsidR="005A7DA4" w:rsidRPr="006E1E9A" w:rsidRDefault="00D7765B" w:rsidP="00985F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Segunda: Servidor municipal designado para receber os bens na UO doadora como cidadão. A </w:t>
      </w:r>
      <w:r w:rsidRPr="006E1E9A">
        <w:rPr>
          <w:rFonts w:ascii="Arial" w:hAnsi="Arial" w:cs="Arial"/>
        </w:rPr>
        <w:t>assinatura d</w:t>
      </w:r>
      <w:r w:rsidR="00CF1F64" w:rsidRPr="006E1E9A">
        <w:rPr>
          <w:rFonts w:ascii="Arial" w:hAnsi="Arial" w:cs="Arial"/>
        </w:rPr>
        <w:t>ar-se-à</w:t>
      </w:r>
      <w:r w:rsidRPr="006E1E9A">
        <w:rPr>
          <w:rFonts w:ascii="Arial" w:hAnsi="Arial" w:cs="Arial"/>
        </w:rPr>
        <w:t xml:space="preserve"> no ato da retirada do bem;</w:t>
      </w:r>
    </w:p>
    <w:p w14:paraId="39469DD6" w14:textId="6AD64582" w:rsidR="005A7DA4" w:rsidRDefault="00D7765B" w:rsidP="00985F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i/>
          <w:color w:val="FF0000"/>
        </w:rPr>
      </w:pPr>
      <w:r w:rsidRPr="006E1E9A">
        <w:rPr>
          <w:rFonts w:ascii="Arial" w:hAnsi="Arial" w:cs="Arial"/>
        </w:rPr>
        <w:t>Terceira: Servidor da SALMOX</w:t>
      </w:r>
      <w:r w:rsidR="00CF1F64" w:rsidRPr="006E1E9A">
        <w:rPr>
          <w:rFonts w:ascii="Arial" w:hAnsi="Arial" w:cs="Arial"/>
        </w:rPr>
        <w:t>. A assinatura dar-se-à</w:t>
      </w:r>
      <w:r w:rsidRPr="006E1E9A">
        <w:rPr>
          <w:rFonts w:ascii="Arial" w:hAnsi="Arial" w:cs="Arial"/>
        </w:rPr>
        <w:t xml:space="preserve"> após </w:t>
      </w:r>
      <w:r>
        <w:rPr>
          <w:rFonts w:ascii="Arial" w:hAnsi="Arial" w:cs="Arial"/>
        </w:rPr>
        <w:t xml:space="preserve">a conclusão da execução da doação. </w:t>
      </w:r>
    </w:p>
    <w:p w14:paraId="6521E12C" w14:textId="77777777" w:rsidR="005A7DA4" w:rsidRDefault="00D7765B" w:rsidP="00985FC8">
      <w:pPr>
        <w:pStyle w:val="PargrafodaLista"/>
        <w:ind w:left="1440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 </w:t>
      </w:r>
    </w:p>
    <w:p w14:paraId="5FC84B4B" w14:textId="77777777" w:rsidR="005A7DA4" w:rsidRDefault="00D7765B" w:rsidP="00985FC8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</w:rPr>
        <w:t>6.1.10.  Executar doação</w:t>
      </w:r>
    </w:p>
    <w:p w14:paraId="21FD752F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UO doadora, por meio de representante ou responsável, deve entregar os bens segregados e assinar no sistema E-Docs o Termo de Entrega e Recebimento de Bens Móveis Inservíveis juntamente ao servidor municipal designado.</w:t>
      </w:r>
    </w:p>
    <w:p w14:paraId="138545FF" w14:textId="77777777" w:rsidR="005A7DA4" w:rsidRDefault="005A7DA4" w:rsidP="00985FC8">
      <w:pPr>
        <w:jc w:val="both"/>
        <w:rPr>
          <w:rFonts w:ascii="Arial" w:hAnsi="Arial" w:cs="Arial"/>
          <w:b/>
          <w:color w:val="FF0000"/>
        </w:rPr>
      </w:pPr>
    </w:p>
    <w:p w14:paraId="7ADB0AC5" w14:textId="77777777" w:rsidR="005A7DA4" w:rsidRDefault="00D7765B" w:rsidP="00985FC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6.1.11.  Realizar procedimentos de captura no sistema  </w:t>
      </w:r>
    </w:p>
    <w:p w14:paraId="40391E2E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assinar o Termo de Entrega e Recebimento de Bens Móveis Inservíveis. Após a captura do documento, deve-se entranhar ao processo. </w:t>
      </w:r>
    </w:p>
    <w:p w14:paraId="6A4792DD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56DA256A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6.1.12.  Indicar amparo legal</w:t>
      </w:r>
    </w:p>
    <w:p w14:paraId="09DA3A63" w14:textId="7F07FAA2" w:rsidR="005A7DA4" w:rsidRDefault="00D7765B" w:rsidP="00985FC8">
      <w:pPr>
        <w:jc w:val="both"/>
      </w:pPr>
      <w:r>
        <w:rPr>
          <w:rFonts w:ascii="Arial" w:hAnsi="Arial" w:cs="Arial"/>
        </w:rPr>
        <w:t>A SALMOX, por meio de representante ou responsável, deve elaborar manifestação, indicando amparo legal, usando a Lei nº 10.662/</w:t>
      </w:r>
      <w:r w:rsidR="00F55C9E">
        <w:rPr>
          <w:rFonts w:ascii="Arial" w:hAnsi="Arial" w:cs="Arial"/>
        </w:rPr>
        <w:t>2017, o Decreto nº 1.110–R/2002</w:t>
      </w:r>
      <w:r>
        <w:rPr>
          <w:rFonts w:ascii="Arial" w:hAnsi="Arial" w:cs="Arial"/>
        </w:rPr>
        <w:t>, Enunciado CPGE nº 29 e a Norma SPA – 005 da SEGER, apontando o que já foi atendido e destacando os próximos encaminhamentos.</w:t>
      </w:r>
      <w:r>
        <w:rPr>
          <w:rFonts w:ascii="Arial" w:hAnsi="Arial" w:cs="Arial"/>
          <w:color w:val="FF0000"/>
        </w:rPr>
        <w:t xml:space="preserve"> </w:t>
      </w:r>
    </w:p>
    <w:p w14:paraId="13FEAA81" w14:textId="77777777" w:rsidR="005A7DA4" w:rsidRDefault="005A7DA4" w:rsidP="00985FC8">
      <w:pPr>
        <w:jc w:val="both"/>
        <w:rPr>
          <w:rFonts w:ascii="Arial" w:hAnsi="Arial" w:cs="Arial"/>
          <w:color w:val="FF0000"/>
        </w:rPr>
      </w:pPr>
    </w:p>
    <w:p w14:paraId="2BDFD5BB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6.1.13.  Despachar processo </w:t>
      </w:r>
    </w:p>
    <w:p w14:paraId="4517299F" w14:textId="77777777" w:rsidR="005A7DA4" w:rsidRDefault="00D7765B" w:rsidP="00985FC8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SALMOX, por meio de representante ou responsável, deve despachar o processo, solicitando ao Ordenador de Despesas a autorização da elaboração de minuta e, em ato contínuo, a análise da Assessoria Jurídica. </w:t>
      </w:r>
    </w:p>
    <w:p w14:paraId="24A48591" w14:textId="77777777" w:rsidR="005A7DA4" w:rsidRDefault="005A7DA4" w:rsidP="00985FC8">
      <w:pPr>
        <w:jc w:val="both"/>
        <w:rPr>
          <w:rFonts w:ascii="Arial" w:hAnsi="Arial" w:cs="Arial"/>
          <w:color w:val="FF0000"/>
        </w:rPr>
      </w:pPr>
    </w:p>
    <w:p w14:paraId="56A4C61E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6.1.14.  Autorizar procedimentos</w:t>
      </w:r>
    </w:p>
    <w:p w14:paraId="0A5160D1" w14:textId="77777777" w:rsidR="005A7DA4" w:rsidRDefault="00D7765B" w:rsidP="00985FC8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O Ordenador de Despesas, após ciência, deve despachar o processo, autorizando à GECON a elaboração da minuta e à Assessoria Jurídica a emissão de parecer jurídico. </w:t>
      </w:r>
    </w:p>
    <w:p w14:paraId="6EFBE553" w14:textId="77777777" w:rsidR="005A7DA4" w:rsidRDefault="005A7DA4" w:rsidP="00985FC8">
      <w:pPr>
        <w:jc w:val="both"/>
        <w:rPr>
          <w:rFonts w:ascii="Arial" w:hAnsi="Arial" w:cs="Arial"/>
          <w:b/>
          <w:color w:val="FF0000"/>
        </w:rPr>
      </w:pPr>
    </w:p>
    <w:p w14:paraId="50999238" w14:textId="77777777" w:rsidR="005A7DA4" w:rsidRDefault="005A7DA4" w:rsidP="00985FC8">
      <w:pPr>
        <w:jc w:val="both"/>
        <w:rPr>
          <w:rFonts w:ascii="Arial" w:hAnsi="Arial" w:cs="Arial"/>
          <w:b/>
          <w:color w:val="FF0000"/>
        </w:rPr>
      </w:pPr>
    </w:p>
    <w:p w14:paraId="2E8B4BEE" w14:textId="77777777" w:rsidR="005A7DA4" w:rsidRDefault="005A7DA4" w:rsidP="00985FC8">
      <w:pPr>
        <w:jc w:val="both"/>
        <w:rPr>
          <w:rFonts w:ascii="Arial" w:hAnsi="Arial" w:cs="Arial"/>
          <w:b/>
          <w:color w:val="FF0000"/>
        </w:rPr>
      </w:pPr>
    </w:p>
    <w:p w14:paraId="30ECBE48" w14:textId="77777777" w:rsidR="005A7DA4" w:rsidRDefault="005A7DA4" w:rsidP="00985FC8">
      <w:pPr>
        <w:jc w:val="both"/>
        <w:rPr>
          <w:rFonts w:ascii="Arial" w:hAnsi="Arial" w:cs="Arial"/>
          <w:b/>
          <w:color w:val="FF0000"/>
        </w:rPr>
      </w:pPr>
    </w:p>
    <w:p w14:paraId="054C9B50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6.1.15.  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Elaborar minuta</w:t>
      </w:r>
    </w:p>
    <w:p w14:paraId="66EF06A8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A GECON, por meio de representante ou responsável, deve elaborar minuta do Termo de Doação de Bens Móveis Inservíveis, entranhar o documento ao processo e realizar os demais procedimentos que se fizerem necessários.</w:t>
      </w:r>
    </w:p>
    <w:p w14:paraId="7ADF3684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603B5DD6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Realizados os procedimentos necessários, deve-se despachar o processo para análise jurídica.</w:t>
      </w:r>
    </w:p>
    <w:p w14:paraId="608BCC8E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</w:rPr>
      </w:pPr>
    </w:p>
    <w:p w14:paraId="6E33606A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6.1.16.  Emitir parecer jurídico</w:t>
      </w:r>
    </w:p>
    <w:p w14:paraId="4406B3E0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A Assessoria Jurídica, por meio de representante ou responsável, deve analisar a minuta do Termo de Doação de Bens Móveis Inservíveis, emitir parecer jurídico, entranhar documento ao processo e despachar para o Ordenador de Despesas.</w:t>
      </w:r>
    </w:p>
    <w:p w14:paraId="502F6B78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</w:rPr>
      </w:pPr>
    </w:p>
    <w:p w14:paraId="463AC54B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6.1.17.  Analisar parecer jurídico</w:t>
      </w:r>
    </w:p>
    <w:p w14:paraId="57AF9AE6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Ordenador de Despesas deve analisar parecer jurídico e verificar se há recomendações a serem atendidas ou não.</w:t>
      </w:r>
    </w:p>
    <w:p w14:paraId="06D63C6E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</w:rPr>
      </w:pPr>
    </w:p>
    <w:p w14:paraId="63D8F764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Caso não haja recomendações, deve-se seguir para o item 6.1.18.</w:t>
      </w:r>
    </w:p>
    <w:p w14:paraId="15979059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</w:rPr>
      </w:pPr>
    </w:p>
    <w:p w14:paraId="728951B6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Caso haja recomendações, deve-se seguir para o item 6.1.19.</w:t>
      </w:r>
    </w:p>
    <w:p w14:paraId="1910B9D7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</w:rPr>
      </w:pPr>
    </w:p>
    <w:p w14:paraId="31B6375C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6.1.18.  Autorizar formalização do Termo de Doação</w:t>
      </w:r>
    </w:p>
    <w:p w14:paraId="36769E7D" w14:textId="77777777" w:rsidR="005A7DA4" w:rsidRDefault="00D7765B" w:rsidP="00985FC8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O Ordenador de despesas deve autorizar a formalização do Termo de Doação de Bens Móveis Inservíveis por meio de despacho no processo. Na sequência, deve-se seguir para o item 6.21. </w:t>
      </w:r>
    </w:p>
    <w:p w14:paraId="7FAAE19F" w14:textId="77777777" w:rsidR="005A7DA4" w:rsidRDefault="005A7DA4" w:rsidP="00985FC8">
      <w:pPr>
        <w:jc w:val="both"/>
        <w:rPr>
          <w:rFonts w:ascii="Arial" w:hAnsi="Arial" w:cs="Arial"/>
          <w:b/>
          <w:color w:val="FF0000"/>
        </w:rPr>
      </w:pPr>
    </w:p>
    <w:p w14:paraId="599E8426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6.1.19.  Despachar processo</w:t>
      </w:r>
    </w:p>
    <w:p w14:paraId="31409B85" w14:textId="77777777" w:rsidR="005A7DA4" w:rsidRDefault="00D7765B" w:rsidP="00985FC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caso de recomendações, o Ordenador de despesas deve despachar o processo para atendimento. </w:t>
      </w:r>
    </w:p>
    <w:p w14:paraId="169AFE82" w14:textId="77777777" w:rsidR="005A7DA4" w:rsidRDefault="005A7DA4" w:rsidP="00985FC8">
      <w:pPr>
        <w:jc w:val="both"/>
        <w:rPr>
          <w:rFonts w:ascii="Arial" w:hAnsi="Arial" w:cs="Arial"/>
          <w:b/>
          <w:color w:val="FF0000"/>
        </w:rPr>
      </w:pPr>
    </w:p>
    <w:p w14:paraId="532275C0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6.1.20.  Atender recomendações</w:t>
      </w:r>
    </w:p>
    <w:p w14:paraId="6C0C2D40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SALMOX, por meio de representante ou responsável, deve atender às recomendações e despachar o processo. </w:t>
      </w:r>
      <w:r>
        <w:rPr>
          <w:rFonts w:ascii="Arial" w:hAnsi="Arial" w:cs="Arial"/>
          <w:bCs/>
        </w:rPr>
        <w:t>Na sequência, deve-se seguir para o item 6.1.21.</w:t>
      </w:r>
    </w:p>
    <w:p w14:paraId="2A30DCAC" w14:textId="77777777" w:rsidR="005A7DA4" w:rsidRDefault="005A7DA4" w:rsidP="00985FC8">
      <w:pPr>
        <w:jc w:val="both"/>
        <w:rPr>
          <w:rFonts w:ascii="Arial" w:hAnsi="Arial" w:cs="Arial"/>
        </w:rPr>
      </w:pPr>
    </w:p>
    <w:p w14:paraId="2F8E8608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6.1.21.  Formalizar Termo de Doação</w:t>
      </w:r>
    </w:p>
    <w:p w14:paraId="09B8A8B1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GECON, por meio de representante ou responsável, deve formalizar Termo de Doação de Bens Móveis Inservíveis e iniciar a captura do documento no sistema E-Docs, incluindo como assinantes o Ordenador de Despesas da SEDU e o Prefeito do município requerente como cidadão. Após capturado, deve entranhar o documento ao processo. </w:t>
      </w:r>
    </w:p>
    <w:p w14:paraId="0C2C423B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</w:rPr>
      </w:pPr>
    </w:p>
    <w:p w14:paraId="18F58031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6.1.22.  Elaborar resumo da publicação</w:t>
      </w:r>
    </w:p>
    <w:p w14:paraId="1D439877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A GECON, por meio de representante ou responsável, deve providenciar o resumo da publicação, iniciar a captura do documento no sistema E-Docs e adicionar o Ordenador de Despesas como único assinante.</w:t>
      </w:r>
    </w:p>
    <w:p w14:paraId="453CDDB4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</w:rPr>
      </w:pPr>
    </w:p>
    <w:p w14:paraId="4B121F60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processo fica sob a custódia da GECON aguardando a publicação no Diário Oficial do Estado do Espírito Santo - DIOES. </w:t>
      </w:r>
    </w:p>
    <w:p w14:paraId="114A8FAD" w14:textId="77777777" w:rsidR="005A7DA4" w:rsidRDefault="005A7DA4" w:rsidP="00985FC8">
      <w:pPr>
        <w:jc w:val="both"/>
        <w:rPr>
          <w:rFonts w:ascii="Arial" w:hAnsi="Arial" w:cs="Arial"/>
          <w:color w:val="FF0000"/>
        </w:rPr>
      </w:pPr>
    </w:p>
    <w:p w14:paraId="7476A59A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6.1.23.  Enviar arquivo para publicação</w:t>
      </w:r>
    </w:p>
    <w:p w14:paraId="06BC0946" w14:textId="25DDAD70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GECON, por meio de representante ou responsável, deve enviar por e-mail o arquivo editável com o resumo da publicação e o resumo capturado no sistema com assinatura do Ordenador de Despesas à SEAP para publicação. </w:t>
      </w:r>
    </w:p>
    <w:p w14:paraId="445369D8" w14:textId="77777777" w:rsidR="00BA7A56" w:rsidRDefault="00BA7A56" w:rsidP="00985FC8">
      <w:pPr>
        <w:jc w:val="both"/>
        <w:rPr>
          <w:rFonts w:ascii="Arial" w:hAnsi="Arial" w:cs="Arial"/>
        </w:rPr>
      </w:pPr>
    </w:p>
    <w:p w14:paraId="76BC6D83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6.1.24.  Enviar resumo para publicação</w:t>
      </w:r>
    </w:p>
    <w:p w14:paraId="35C22570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SEAP, por meio de representante ou responsável, deve enviar o arquivo com o resumo para publicação no DIOES. </w:t>
      </w:r>
    </w:p>
    <w:p w14:paraId="7423146C" w14:textId="77777777" w:rsidR="005A7DA4" w:rsidRDefault="005A7DA4" w:rsidP="00985FC8">
      <w:pPr>
        <w:jc w:val="both"/>
        <w:rPr>
          <w:rFonts w:ascii="Arial" w:hAnsi="Arial" w:cs="Arial"/>
          <w:b/>
          <w:i/>
          <w:color w:val="FF0000"/>
        </w:rPr>
      </w:pPr>
    </w:p>
    <w:p w14:paraId="00D3722B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6.1.25.  Capturar ato publicado</w:t>
      </w:r>
    </w:p>
    <w:p w14:paraId="4ACF83B5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GECON, por meio de representante ou responsável, deve consultar o DIOES para verificar a publicação, capturar o ato publicado, entranhá-lo no processo e despachar para providências que se fizerem necessárias.</w:t>
      </w:r>
    </w:p>
    <w:p w14:paraId="15FC976A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</w:t>
      </w:r>
    </w:p>
    <w:p w14:paraId="16498897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6.1.26.  Solicitar autorização de baixa patrimonial e baixa contábil</w:t>
      </w:r>
    </w:p>
    <w:p w14:paraId="1E09BC7C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SALMOX, por meio de representante ou responsável, deve despachar o processo para o Ordenador de Despesas, solicitando autorização de baixa patrimonial e baixa contábil. </w:t>
      </w:r>
    </w:p>
    <w:p w14:paraId="76909A4A" w14:textId="77777777" w:rsidR="005A7DA4" w:rsidRDefault="005A7DA4" w:rsidP="00985FC8">
      <w:pPr>
        <w:jc w:val="both"/>
        <w:rPr>
          <w:rFonts w:ascii="Arial" w:hAnsi="Arial" w:cs="Arial"/>
          <w:color w:val="FF0000"/>
        </w:rPr>
      </w:pPr>
    </w:p>
    <w:p w14:paraId="247C0065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6.1.27.  Autorizar baixa patrimonial e baixa contábil</w:t>
      </w:r>
    </w:p>
    <w:p w14:paraId="4427F1BE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Ordenador de Despesas deve autorizar por meio de despacho no processo, a baixa patrimonial e baixa contábil. </w:t>
      </w:r>
    </w:p>
    <w:p w14:paraId="4B71D1B3" w14:textId="77777777" w:rsidR="005A7DA4" w:rsidRDefault="005A7DA4" w:rsidP="00985FC8">
      <w:pPr>
        <w:jc w:val="both"/>
        <w:rPr>
          <w:rFonts w:ascii="Arial" w:hAnsi="Arial" w:cs="Arial"/>
          <w:b/>
          <w:i/>
          <w:color w:val="FF0000"/>
        </w:rPr>
      </w:pPr>
    </w:p>
    <w:p w14:paraId="6886AB66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6.1.28.  Realizar baixa patrimonial</w:t>
      </w:r>
    </w:p>
    <w:p w14:paraId="116A4D10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SALMOX, por meio de representante ou responsável, deve realizar o procedimento de baixa patrimonial no SIGA e entranhar o Termo de Baixa Definitiva ao processo e despachar. </w:t>
      </w:r>
    </w:p>
    <w:p w14:paraId="361B0C98" w14:textId="77777777" w:rsidR="005A7DA4" w:rsidRDefault="005A7DA4" w:rsidP="00985FC8">
      <w:pPr>
        <w:jc w:val="both"/>
        <w:rPr>
          <w:rFonts w:ascii="Arial" w:hAnsi="Arial" w:cs="Arial"/>
          <w:b/>
          <w:i/>
          <w:color w:val="FF0000"/>
        </w:rPr>
      </w:pPr>
    </w:p>
    <w:p w14:paraId="46BEFC62" w14:textId="77777777" w:rsidR="005A7DA4" w:rsidRDefault="00D7765B" w:rsidP="00985FC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6.1.29.  Realizar baixa contábil</w:t>
      </w:r>
    </w:p>
    <w:p w14:paraId="27E51B49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GFS, por meio de representante ou responsável, deve realizar procedimento de baixa contábil no SIGEFES, entranhar documento no processo e despachar. </w:t>
      </w:r>
    </w:p>
    <w:p w14:paraId="1B5497A3" w14:textId="77777777" w:rsidR="005A7DA4" w:rsidRDefault="005A7DA4" w:rsidP="00985FC8">
      <w:pPr>
        <w:jc w:val="both"/>
        <w:rPr>
          <w:rFonts w:ascii="Arial" w:hAnsi="Arial" w:cs="Arial"/>
          <w:color w:val="FF0000"/>
        </w:rPr>
      </w:pPr>
    </w:p>
    <w:p w14:paraId="174A1312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6.1.30.  Informar ao município</w:t>
      </w:r>
    </w:p>
    <w:p w14:paraId="0FCA5EA0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SALMOX, por meio de representante ou responsável, deve enviar e-mail ao município informando que os bens móveis devem ser ingressados ao patrimônio próprio. </w:t>
      </w:r>
    </w:p>
    <w:p w14:paraId="619CE5BB" w14:textId="77777777" w:rsidR="005A7DA4" w:rsidRDefault="00D7765B" w:rsidP="00985FC8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 xml:space="preserve"> </w:t>
      </w:r>
    </w:p>
    <w:p w14:paraId="5B262D52" w14:textId="77777777" w:rsidR="005A7DA4" w:rsidRDefault="00D7765B" w:rsidP="00985FC8">
      <w:pPr>
        <w:pStyle w:val="PargrafodaLista"/>
        <w:numPr>
          <w:ilvl w:val="2"/>
          <w:numId w:val="11"/>
        </w:numPr>
        <w:tabs>
          <w:tab w:val="left" w:pos="851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Despachar para SEGER</w:t>
      </w:r>
    </w:p>
    <w:p w14:paraId="62A57C54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despachar o processo para a SEGER dar ciência da doação de bens móveis inservíveis e aguardar devolução do mesmo.</w:t>
      </w:r>
    </w:p>
    <w:p w14:paraId="019F7EAE" w14:textId="77777777" w:rsidR="005A7DA4" w:rsidRDefault="005A7DA4" w:rsidP="00985FC8">
      <w:pPr>
        <w:jc w:val="both"/>
        <w:rPr>
          <w:rFonts w:ascii="Arial" w:hAnsi="Arial" w:cs="Arial"/>
        </w:rPr>
      </w:pPr>
    </w:p>
    <w:p w14:paraId="5ECB9CB8" w14:textId="77777777" w:rsidR="005A7DA4" w:rsidRDefault="00D7765B" w:rsidP="00985FC8">
      <w:pPr>
        <w:pStyle w:val="PargrafodaLista"/>
        <w:numPr>
          <w:ilvl w:val="2"/>
          <w:numId w:val="6"/>
        </w:numPr>
        <w:tabs>
          <w:tab w:val="left" w:pos="567"/>
          <w:tab w:val="left" w:pos="851"/>
          <w:tab w:val="left" w:pos="993"/>
        </w:tabs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Dar ciência</w:t>
      </w:r>
    </w:p>
    <w:p w14:paraId="444831EF" w14:textId="77777777" w:rsidR="005A7DA4" w:rsidRDefault="00D7765B" w:rsidP="00985FC8">
      <w:pPr>
        <w:tabs>
          <w:tab w:val="left" w:pos="567"/>
          <w:tab w:val="left" w:pos="851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SEGER, por meio de representante ou responsável, deve dar ciência à SALMOX por meio de despacho no processo.</w:t>
      </w:r>
    </w:p>
    <w:p w14:paraId="20B08321" w14:textId="77777777" w:rsidR="005A7DA4" w:rsidRDefault="005A7DA4" w:rsidP="00985FC8">
      <w:pPr>
        <w:tabs>
          <w:tab w:val="left" w:pos="567"/>
          <w:tab w:val="left" w:pos="851"/>
          <w:tab w:val="left" w:pos="993"/>
        </w:tabs>
        <w:jc w:val="both"/>
        <w:rPr>
          <w:rFonts w:ascii="Arial" w:hAnsi="Arial" w:cs="Arial"/>
        </w:rPr>
      </w:pPr>
    </w:p>
    <w:p w14:paraId="2EA352A5" w14:textId="77777777" w:rsidR="005A7DA4" w:rsidRDefault="00D7765B" w:rsidP="00985FC8">
      <w:pPr>
        <w:pStyle w:val="PargrafodaLista"/>
        <w:numPr>
          <w:ilvl w:val="2"/>
          <w:numId w:val="6"/>
        </w:numPr>
        <w:tabs>
          <w:tab w:val="left" w:pos="567"/>
          <w:tab w:val="left" w:pos="851"/>
          <w:tab w:val="left" w:pos="993"/>
        </w:tabs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Encerrar processo</w:t>
      </w:r>
    </w:p>
    <w:p w14:paraId="4AA64C9F" w14:textId="77777777" w:rsidR="005A7DA4" w:rsidRDefault="00D7765B" w:rsidP="00985FC8">
      <w:pPr>
        <w:tabs>
          <w:tab w:val="left" w:pos="567"/>
          <w:tab w:val="left" w:pos="851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após devolução do processo pela SEGER, deve providenciar encerramento, ficando sob sua custódia.</w:t>
      </w:r>
    </w:p>
    <w:p w14:paraId="68D650F1" w14:textId="77777777" w:rsidR="005A7DA4" w:rsidRDefault="005A7DA4" w:rsidP="00985FC8">
      <w:pPr>
        <w:tabs>
          <w:tab w:val="left" w:pos="567"/>
          <w:tab w:val="left" w:pos="851"/>
          <w:tab w:val="left" w:pos="993"/>
        </w:tabs>
        <w:jc w:val="both"/>
        <w:rPr>
          <w:rFonts w:ascii="Arial" w:hAnsi="Arial" w:cs="Arial"/>
          <w:b/>
        </w:rPr>
      </w:pPr>
    </w:p>
    <w:p w14:paraId="00EC1DF3" w14:textId="77777777" w:rsidR="005A7DA4" w:rsidRDefault="005A7DA4" w:rsidP="00985FC8">
      <w:pPr>
        <w:pStyle w:val="PargrafodaLista"/>
        <w:tabs>
          <w:tab w:val="left" w:pos="567"/>
          <w:tab w:val="left" w:pos="851"/>
          <w:tab w:val="left" w:pos="993"/>
        </w:tabs>
        <w:ind w:left="709"/>
        <w:jc w:val="both"/>
        <w:rPr>
          <w:rFonts w:ascii="Arial" w:hAnsi="Arial" w:cs="Arial"/>
          <w:b/>
        </w:rPr>
      </w:pPr>
    </w:p>
    <w:p w14:paraId="6DDF7A74" w14:textId="77777777" w:rsidR="005A7DA4" w:rsidRDefault="00D7765B" w:rsidP="00985FC8">
      <w:pPr>
        <w:pStyle w:val="PargrafodaLista"/>
        <w:numPr>
          <w:ilvl w:val="1"/>
          <w:numId w:val="6"/>
        </w:numPr>
        <w:jc w:val="both"/>
        <w:rPr>
          <w:rFonts w:ascii="Arial" w:hAnsi="Arial" w:cs="Arial"/>
          <w:b/>
          <w:bCs/>
          <w:i/>
          <w:color w:val="FF0000"/>
        </w:rPr>
      </w:pPr>
      <w:r>
        <w:rPr>
          <w:rFonts w:ascii="Arial" w:hAnsi="Arial" w:cs="Arial"/>
          <w:b/>
        </w:rPr>
        <w:lastRenderedPageBreak/>
        <w:t xml:space="preserve">DOAÇÃO PARA ENTIDADES EDUCACIONAIS FILANTRÓPICAS </w:t>
      </w:r>
      <w:r>
        <w:rPr>
          <w:rFonts w:ascii="Arial" w:eastAsiaTheme="minorHAnsi" w:hAnsi="Arial" w:cs="Arial"/>
          <w:lang w:eastAsia="en-US"/>
        </w:rPr>
        <w:t>(</w:t>
      </w:r>
      <w:r>
        <w:rPr>
          <w:rFonts w:ascii="Arial" w:eastAsiaTheme="minorHAnsi" w:hAnsi="Arial" w:cs="Arial"/>
          <w:b/>
          <w:bCs/>
          <w:lang w:eastAsia="en-US"/>
        </w:rPr>
        <w:t>APAE/PESTALOZZI/ESCOLA FAMÍLIA AGRÍCOLA)</w:t>
      </w:r>
    </w:p>
    <w:p w14:paraId="3169989F" w14:textId="77777777" w:rsidR="005A7DA4" w:rsidRDefault="005A7DA4" w:rsidP="00985FC8">
      <w:pPr>
        <w:jc w:val="both"/>
        <w:rPr>
          <w:rFonts w:ascii="Arial" w:hAnsi="Arial" w:cs="Arial"/>
          <w:color w:val="FF0000"/>
        </w:rPr>
      </w:pPr>
    </w:p>
    <w:p w14:paraId="3B10D591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6.2.1. Consultar interesse da entidade</w:t>
      </w:r>
    </w:p>
    <w:p w14:paraId="0FDDF24C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UO doadora, por meio de representante ou responsável, deve consultar a entidade educacional filantrópica, por e-mail, sobre interesse em receber os bens móveis inservíveis.</w:t>
      </w:r>
    </w:p>
    <w:p w14:paraId="50A5002F" w14:textId="77777777" w:rsidR="005A7DA4" w:rsidRDefault="005A7DA4" w:rsidP="00985FC8">
      <w:pPr>
        <w:jc w:val="both"/>
        <w:rPr>
          <w:rFonts w:ascii="Arial" w:hAnsi="Arial" w:cs="Arial"/>
        </w:rPr>
      </w:pPr>
    </w:p>
    <w:p w14:paraId="6504FC37" w14:textId="5E8A8B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Deve aguardar e-mail com manifestação da entidade</w:t>
      </w:r>
      <w:r w:rsidR="00D222F2">
        <w:rPr>
          <w:rFonts w:ascii="Arial" w:hAnsi="Arial" w:cs="Arial"/>
        </w:rPr>
        <w:t xml:space="preserve"> pelo prazo de 5 dias úteis</w:t>
      </w:r>
      <w:r>
        <w:rPr>
          <w:rFonts w:ascii="Arial" w:hAnsi="Arial" w:cs="Arial"/>
        </w:rPr>
        <w:t xml:space="preserve">. </w:t>
      </w:r>
    </w:p>
    <w:p w14:paraId="0B4CAE76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17CDAE99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6.2.2. Analisar manifestação e segregar bens</w:t>
      </w:r>
      <w:bookmarkStart w:id="4" w:name="_GoBack"/>
      <w:bookmarkEnd w:id="4"/>
    </w:p>
    <w:p w14:paraId="48AFF33B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UO doadora, por meio de representante ou responsável, deve analisar a manifestação enviada pela entidade educacional filantrópica e segregar os bens a serem doados. </w:t>
      </w:r>
    </w:p>
    <w:p w14:paraId="2112FB7F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7047018A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6.2.3. Relacionar bens segregados</w:t>
      </w:r>
    </w:p>
    <w:p w14:paraId="6F12F321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UO doadora, por meio de representante ou responsável, deve relacionar bens segregados, encaminhar ao requerente para providenciar documentos relativos à doação.</w:t>
      </w:r>
    </w:p>
    <w:p w14:paraId="45063DB0" w14:textId="77777777" w:rsidR="005A7DA4" w:rsidRDefault="005A7DA4" w:rsidP="00985FC8">
      <w:pPr>
        <w:jc w:val="both"/>
        <w:rPr>
          <w:rFonts w:ascii="Arial" w:hAnsi="Arial" w:cs="Arial"/>
        </w:rPr>
      </w:pPr>
    </w:p>
    <w:p w14:paraId="1B7956CA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entidade, por meio de representante ou responsável deve:</w:t>
      </w:r>
    </w:p>
    <w:p w14:paraId="190352A9" w14:textId="77777777" w:rsidR="005A7DA4" w:rsidRDefault="00D7765B" w:rsidP="00985FC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à UO doadora, por e-mail, nome e CPF do representante da entidade designado a receber os bens doados;</w:t>
      </w:r>
    </w:p>
    <w:p w14:paraId="2F86D79D" w14:textId="77777777" w:rsidR="005A7DA4" w:rsidRDefault="00D7765B" w:rsidP="00985FC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encaminhar no sistema E-Docs para formalização do interesse no recebimento dos bens móveis inservíveis:</w:t>
      </w:r>
    </w:p>
    <w:p w14:paraId="630A810B" w14:textId="77777777" w:rsidR="005A7DA4" w:rsidRDefault="00D7765B" w:rsidP="00985FC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Ofício endereçado ao Secretário de Estado da Educação;</w:t>
      </w:r>
    </w:p>
    <w:p w14:paraId="25056920" w14:textId="77777777" w:rsidR="005A7DA4" w:rsidRDefault="00D7765B" w:rsidP="00985FC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Relatório de Bens de interesse;</w:t>
      </w:r>
    </w:p>
    <w:p w14:paraId="5B9EBA34" w14:textId="77777777" w:rsidR="005A7DA4" w:rsidRDefault="00D7765B" w:rsidP="00985FC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Documentação do representante legal da entidade, CNDs válidas, inclusive do TCEES, CRP, CAUC, declarações de regularidade referente à prestação de contas, ao pagamento de empréstimos, financiamentos e atendimento à disponibilização do acesso a informações.</w:t>
      </w:r>
    </w:p>
    <w:p w14:paraId="49A53FCA" w14:textId="77777777" w:rsidR="0081058A" w:rsidRDefault="0081058A" w:rsidP="00985FC8">
      <w:pPr>
        <w:jc w:val="both"/>
        <w:rPr>
          <w:rFonts w:ascii="Arial" w:hAnsi="Arial" w:cs="Arial"/>
        </w:rPr>
      </w:pPr>
    </w:p>
    <w:p w14:paraId="69149D08" w14:textId="10DB56FF" w:rsidR="005A7DA4" w:rsidRPr="0081058A" w:rsidRDefault="00D7765B" w:rsidP="00985FC8">
      <w:pPr>
        <w:jc w:val="both"/>
        <w:rPr>
          <w:rFonts w:ascii="Arial" w:hAnsi="Arial" w:cs="Arial"/>
        </w:rPr>
      </w:pPr>
      <w:r w:rsidRPr="0081058A">
        <w:rPr>
          <w:rFonts w:ascii="Arial" w:hAnsi="Arial" w:cs="Arial"/>
        </w:rPr>
        <w:t xml:space="preserve">No ato do encaminhamento deve adicionar como destinatário o setor em que o Ordenador de Despesas se encontra localizado. </w:t>
      </w:r>
    </w:p>
    <w:p w14:paraId="56D92BEC" w14:textId="77777777" w:rsidR="005A7DA4" w:rsidRDefault="005A7DA4" w:rsidP="00985FC8">
      <w:pPr>
        <w:pStyle w:val="PargrafodaLista"/>
        <w:ind w:left="790"/>
        <w:jc w:val="both"/>
        <w:rPr>
          <w:rFonts w:ascii="Arial" w:hAnsi="Arial" w:cs="Arial"/>
        </w:rPr>
      </w:pPr>
    </w:p>
    <w:p w14:paraId="6476EBC7" w14:textId="77777777" w:rsidR="005A7DA4" w:rsidRDefault="00D7765B" w:rsidP="00985FC8">
      <w:pPr>
        <w:pStyle w:val="PargrafodaLista"/>
        <w:ind w:left="0"/>
        <w:jc w:val="both"/>
        <w:rPr>
          <w:rFonts w:ascii="Arial" w:hAnsi="Arial" w:cs="Arial"/>
        </w:rPr>
      </w:pPr>
      <w:bookmarkStart w:id="5" w:name="_Hlk97623782"/>
      <w:r>
        <w:rPr>
          <w:rFonts w:ascii="Arial" w:hAnsi="Arial" w:cs="Arial"/>
        </w:rPr>
        <w:t xml:space="preserve">Para orientações para uso do E-Docs pelo cidadão, ver item </w:t>
      </w:r>
      <w:bookmarkEnd w:id="5"/>
      <w:r>
        <w:rPr>
          <w:rFonts w:ascii="Arial" w:hAnsi="Arial" w:cs="Arial"/>
          <w:b/>
        </w:rPr>
        <w:t>9.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INFORMAÇÕES ADICIONAIS,</w:t>
      </w:r>
      <w:r>
        <w:rPr>
          <w:rFonts w:ascii="Arial" w:hAnsi="Arial" w:cs="Arial"/>
        </w:rPr>
        <w:t xml:space="preserve"> desta Norma.</w:t>
      </w:r>
    </w:p>
    <w:p w14:paraId="4140127A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52119C59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6.2.4. Dar ciência e de acordo</w:t>
      </w:r>
    </w:p>
    <w:p w14:paraId="08A7EDDC" w14:textId="12A12EC8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Ordenador de Despesas deve validar as Certidões Negativas no </w:t>
      </w:r>
      <w:r w:rsidR="0081058A">
        <w:rPr>
          <w:rFonts w:ascii="Arial" w:hAnsi="Arial" w:cs="Arial"/>
        </w:rPr>
        <w:t xml:space="preserve">campo </w:t>
      </w:r>
      <w:r>
        <w:rPr>
          <w:rFonts w:ascii="Arial" w:hAnsi="Arial" w:cs="Arial"/>
        </w:rPr>
        <w:t xml:space="preserve">“ELABORAR” do sistema E-Docs, preenchendo o modelo padrão de validação de documentos. Deve reencaminhar à área responsável pelo objeto para manifestação o encaminhamento recebido da entidade, juntamente à validação das certidões, dando ciência e de acordo. </w:t>
      </w:r>
    </w:p>
    <w:p w14:paraId="2D5CB723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58EA859E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6.2.5. Realizar manifestação</w:t>
      </w:r>
    </w:p>
    <w:p w14:paraId="3814D850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área responsável pelo objeto, por meio de representante ou responsável, deve manifestar-se no encaminhamento recebido no sistema E-Docs e enviar à SALMOX para análise.</w:t>
      </w:r>
    </w:p>
    <w:p w14:paraId="36A0C7A9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6.2.6. Analisar manifestação</w:t>
      </w:r>
    </w:p>
    <w:p w14:paraId="51186CFE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analisar o encaminhamento e verificar se houve manifestação favorável ou desfavorável do Ordenador de Despesas e da Área Responsável, à doação dos bens móveis inservíveis.</w:t>
      </w:r>
    </w:p>
    <w:p w14:paraId="311A3ADE" w14:textId="77777777" w:rsidR="005A7DA4" w:rsidRDefault="005A7DA4" w:rsidP="00985FC8">
      <w:pPr>
        <w:jc w:val="both"/>
        <w:rPr>
          <w:rFonts w:ascii="Arial" w:hAnsi="Arial" w:cs="Arial"/>
        </w:rPr>
      </w:pPr>
    </w:p>
    <w:p w14:paraId="56513462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caso de manifestação favorável, deve-se seguir para o item 6.2.8.</w:t>
      </w:r>
    </w:p>
    <w:p w14:paraId="0453765C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a manifestação for desfavorável, deve-se seguir para o item 6.2.7.</w:t>
      </w:r>
    </w:p>
    <w:p w14:paraId="10F06A56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722C2095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6.2.7. Oficiar entidade</w:t>
      </w:r>
    </w:p>
    <w:p w14:paraId="21EAEEF0" w14:textId="77777777" w:rsidR="005A7DA4" w:rsidRDefault="00D7765B" w:rsidP="00985FC8">
      <w:pPr>
        <w:ind w:right="-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SALMOX, por meio de representante ou responsável, deve encaminhar Ofício pelo sistema E-Docs, comunicando indeferimento à entidade solicitante. Com isso, o procedimento de solicitação de doação encerra-se. </w:t>
      </w:r>
    </w:p>
    <w:p w14:paraId="4CDD3BF0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5E513C5A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6.2.8. Autuar processo</w:t>
      </w:r>
    </w:p>
    <w:p w14:paraId="6D85448D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autuar processo e entranhar encaminhamento do Ordenador de Despesas com documentação pertinente, mencionada na letra b do item 6.2.3, autorizando a doação solicitada pela entidade.</w:t>
      </w:r>
    </w:p>
    <w:p w14:paraId="2CA3B8BB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1FF299CE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6.2.9. Despachar processo</w:t>
      </w:r>
    </w:p>
    <w:p w14:paraId="39032C55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despachar processo para parecer técnico da SEGER.</w:t>
      </w:r>
    </w:p>
    <w:p w14:paraId="49C89112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2E72315D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6.2.10. Despachar parecer técnico</w:t>
      </w:r>
    </w:p>
    <w:p w14:paraId="6DDC7DBF" w14:textId="77777777" w:rsidR="005A7DA4" w:rsidRDefault="00D7765B" w:rsidP="00985FC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SEGER, por meio de representante ou responsável deve emitir parecer técnico, entranhar ao processo e despachar.</w:t>
      </w:r>
    </w:p>
    <w:p w14:paraId="3ED0F4BC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71499CF2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6.2.11. Elaborar Termo de Entrega e Recebimento de Bens</w:t>
      </w:r>
    </w:p>
    <w:p w14:paraId="2B312676" w14:textId="77777777" w:rsidR="0081058A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SALMOX, por meio de representante ou responsável, deve elaborar Termo de Entrega e Recebimento de Bens disponibilizado no sistema E-Docs, </w:t>
      </w:r>
      <w:r w:rsidR="0081058A">
        <w:rPr>
          <w:rFonts w:ascii="Arial" w:hAnsi="Arial" w:cs="Arial"/>
        </w:rPr>
        <w:t xml:space="preserve">assinantes, observando a seguinte sequência de assinaturas: </w:t>
      </w:r>
    </w:p>
    <w:p w14:paraId="33F08257" w14:textId="77777777" w:rsidR="005A7DA4" w:rsidRDefault="00D7765B" w:rsidP="00985F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Primeira: Servidor da UO doadora;</w:t>
      </w:r>
    </w:p>
    <w:p w14:paraId="2CC50D43" w14:textId="4454EB4A" w:rsidR="005A7DA4" w:rsidRPr="006E1E9A" w:rsidRDefault="00D7765B" w:rsidP="00985F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Segunda: Representante da entidade designado para receber os bens na UO doadora como cidadão. A </w:t>
      </w:r>
      <w:r w:rsidRPr="006E1E9A">
        <w:rPr>
          <w:rFonts w:ascii="Arial" w:hAnsi="Arial" w:cs="Arial"/>
        </w:rPr>
        <w:t>assinatura d</w:t>
      </w:r>
      <w:r w:rsidR="0081058A" w:rsidRPr="006E1E9A">
        <w:rPr>
          <w:rFonts w:ascii="Arial" w:hAnsi="Arial" w:cs="Arial"/>
        </w:rPr>
        <w:t xml:space="preserve">ar-se-à </w:t>
      </w:r>
      <w:r w:rsidRPr="006E1E9A">
        <w:rPr>
          <w:rFonts w:ascii="Arial" w:hAnsi="Arial" w:cs="Arial"/>
        </w:rPr>
        <w:t>e no ato da retirada do bem;</w:t>
      </w:r>
    </w:p>
    <w:p w14:paraId="1E9A8C06" w14:textId="2BB8D1E2" w:rsidR="005A7DA4" w:rsidRDefault="00D7765B" w:rsidP="00985F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E1E9A">
        <w:rPr>
          <w:rFonts w:ascii="Arial" w:hAnsi="Arial" w:cs="Arial"/>
        </w:rPr>
        <w:t>Terceira: Servidor da SALMOX</w:t>
      </w:r>
      <w:r w:rsidR="0081058A" w:rsidRPr="006E1E9A">
        <w:rPr>
          <w:rFonts w:ascii="Arial" w:hAnsi="Arial" w:cs="Arial"/>
        </w:rPr>
        <w:t xml:space="preserve">. A assinatura dar-se-à </w:t>
      </w:r>
      <w:r w:rsidRPr="006E1E9A">
        <w:rPr>
          <w:rFonts w:ascii="Arial" w:hAnsi="Arial" w:cs="Arial"/>
        </w:rPr>
        <w:t xml:space="preserve">após </w:t>
      </w:r>
      <w:r>
        <w:rPr>
          <w:rFonts w:ascii="Arial" w:hAnsi="Arial" w:cs="Arial"/>
        </w:rPr>
        <w:t xml:space="preserve">conclusão da execução da doação. </w:t>
      </w:r>
    </w:p>
    <w:p w14:paraId="29FA7D00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099A3308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6.2.12. Executar doação </w:t>
      </w:r>
    </w:p>
    <w:p w14:paraId="7BA47F10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UO doadora, por meio de representante ou responsável, deve entregar os bens segregados e assinar no sistema E-Docs o Termo de Entrega e Recebimento de Bens Móveis juntamente ao representante da entidade designado.</w:t>
      </w:r>
    </w:p>
    <w:p w14:paraId="70AB7BC0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7DB76729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6.2.13. Realizar procedimento de captura no sistema</w:t>
      </w:r>
    </w:p>
    <w:p w14:paraId="7FFD9E2E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assinar o Termo de Entrega e Recebimento de Bens,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capturá-lo e entranhá-lo ao processo. </w:t>
      </w:r>
    </w:p>
    <w:p w14:paraId="3FAA4884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02ACC8E6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39A3C3F8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6.2.14. Indicar amparo legal</w:t>
      </w:r>
    </w:p>
    <w:p w14:paraId="5AA1E593" w14:textId="668963A5" w:rsidR="005A7DA4" w:rsidRDefault="00D7765B" w:rsidP="00985FC8">
      <w:pPr>
        <w:jc w:val="both"/>
      </w:pPr>
      <w:r>
        <w:rPr>
          <w:rFonts w:ascii="Arial" w:hAnsi="Arial" w:cs="Arial"/>
        </w:rPr>
        <w:lastRenderedPageBreak/>
        <w:t>A SALMOX, por meio de representante ou responsável, deve elaborar a manifestação indicando amparo legal, usando a Lei nº 10.662/2017, o Decreto nº 1.110–R/2002, Enunciado CPGE nº 29 e a Norma SPA – 005 da SEGER, apontando o que já foi atendido e destacando os próximos encaminhamentos.</w:t>
      </w:r>
      <w:r>
        <w:rPr>
          <w:rFonts w:ascii="Arial" w:hAnsi="Arial" w:cs="Arial"/>
          <w:color w:val="FF0000"/>
        </w:rPr>
        <w:t xml:space="preserve"> </w:t>
      </w:r>
    </w:p>
    <w:p w14:paraId="0FF11923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2F5E1A4C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6.2.15. Despachar processo</w:t>
      </w:r>
    </w:p>
    <w:p w14:paraId="4823B37F" w14:textId="77777777" w:rsidR="005A7DA4" w:rsidRDefault="00D7765B" w:rsidP="00985FC8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SALMOX, por meio de representante ou responsável, deve despachar processo solicitando ao Ordenador de Despesas a autorização da elaboração de minuta e, em ato contínuo, a análise da Assessoria Jurídica. </w:t>
      </w:r>
    </w:p>
    <w:p w14:paraId="1CA9D978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3B088B43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6.2.16. Autorizar procedimentos</w:t>
      </w:r>
    </w:p>
    <w:p w14:paraId="51D36BCB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Ordenador de Despesas, após ciência, deve despachar processo, autorizando à GECON a elaboração da minuta e à Assessoria Jurídica a emissão de parecer jurídico.</w:t>
      </w:r>
    </w:p>
    <w:p w14:paraId="36DB3E83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13F9F36C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6.2.17. Elaborar minuta</w:t>
      </w:r>
    </w:p>
    <w:p w14:paraId="76FC22D0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GECON, por meio de representante ou responsável, deve elaborar minuta do Termo de Doação de Bens Móveis Inservíveis, entranhar o documento ao processo e os demais procedimentos que se fizerem necessários.</w:t>
      </w:r>
    </w:p>
    <w:p w14:paraId="41D088B0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78189CFA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Realizados os procedimentos necessários, deve-se despachar o processo para análise jurídica. </w:t>
      </w:r>
    </w:p>
    <w:p w14:paraId="634B293D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557A0444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6.2.18. Emitir parecer jurídico</w:t>
      </w:r>
    </w:p>
    <w:p w14:paraId="45028F40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Assessoria Jurídica, por meio de representante ou responsável, deve analisar a minuta do Termo de Doação de Bens Móveis Inservíveis, emitir parecer jurídico, entranhar documento ao processo e despachar para manifestação da PGE. </w:t>
      </w:r>
    </w:p>
    <w:p w14:paraId="0E3E6F55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0C41C4A2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6.2.19. Entranhar manifestação</w:t>
      </w:r>
    </w:p>
    <w:p w14:paraId="52212988" w14:textId="77777777" w:rsidR="005A7DA4" w:rsidRDefault="00D7765B" w:rsidP="00985FC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PGE, por meio de representante ou responsável, deve emitir manifestação, entranhar ao processo e despachar para o Ordenador de Despesas da concedente. </w:t>
      </w:r>
    </w:p>
    <w:p w14:paraId="5D432676" w14:textId="77777777" w:rsidR="005A7DA4" w:rsidRDefault="005A7DA4" w:rsidP="00985FC8">
      <w:pPr>
        <w:jc w:val="both"/>
        <w:rPr>
          <w:rFonts w:ascii="Arial" w:hAnsi="Arial" w:cs="Arial"/>
          <w:bCs/>
        </w:rPr>
      </w:pPr>
    </w:p>
    <w:p w14:paraId="742777D2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6.2.20. Analisar parecer jurídico</w:t>
      </w:r>
    </w:p>
    <w:p w14:paraId="292CB644" w14:textId="77777777" w:rsidR="005A7DA4" w:rsidRDefault="00D7765B" w:rsidP="00985FC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Ordenador de Despesas deve analisar parecer jurídico e verificar se há recomendação na manifestação da PGE a serem atendidas ou não.</w:t>
      </w:r>
    </w:p>
    <w:p w14:paraId="335915A9" w14:textId="77777777" w:rsidR="005A7DA4" w:rsidRDefault="005A7DA4" w:rsidP="00985FC8">
      <w:pPr>
        <w:jc w:val="both"/>
        <w:rPr>
          <w:rFonts w:ascii="Arial" w:hAnsi="Arial" w:cs="Arial"/>
          <w:bCs/>
        </w:rPr>
      </w:pPr>
    </w:p>
    <w:p w14:paraId="7BA0CEC1" w14:textId="77777777" w:rsidR="005A7DA4" w:rsidRDefault="00D7765B" w:rsidP="00985FC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não houver recomendações, deve-se seguir para o item 6.2.21.</w:t>
      </w:r>
    </w:p>
    <w:p w14:paraId="6328C490" w14:textId="77777777" w:rsidR="005A7DA4" w:rsidRDefault="005A7DA4" w:rsidP="00985FC8">
      <w:pPr>
        <w:jc w:val="both"/>
        <w:rPr>
          <w:rFonts w:ascii="Arial" w:hAnsi="Arial" w:cs="Arial"/>
          <w:bCs/>
        </w:rPr>
      </w:pPr>
    </w:p>
    <w:p w14:paraId="2E09AB4B" w14:textId="77777777" w:rsidR="005A7DA4" w:rsidRDefault="00D7765B" w:rsidP="00985FC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houver recomendações, deve-se seguir para o item 6.2.22.</w:t>
      </w:r>
    </w:p>
    <w:p w14:paraId="43FD3410" w14:textId="77777777" w:rsidR="005A7DA4" w:rsidRDefault="005A7DA4" w:rsidP="00985FC8">
      <w:pPr>
        <w:jc w:val="both"/>
        <w:rPr>
          <w:rFonts w:ascii="Arial" w:hAnsi="Arial" w:cs="Arial"/>
          <w:bCs/>
        </w:rPr>
      </w:pPr>
    </w:p>
    <w:p w14:paraId="63C31F27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6.2.21.  Autorizar formalização da doação</w:t>
      </w:r>
    </w:p>
    <w:p w14:paraId="4F8F1719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O Ordenador de despesas deve autorizar a formalização do Termo de Doação de Bens Móveis Inservíveis por meio de despacho no processo. Na sequência, deve-se seguir para o item 6.24. </w:t>
      </w:r>
    </w:p>
    <w:p w14:paraId="3F76048E" w14:textId="77777777" w:rsidR="005A7DA4" w:rsidRDefault="005A7DA4" w:rsidP="00985FC8">
      <w:pPr>
        <w:jc w:val="both"/>
        <w:rPr>
          <w:rFonts w:ascii="Arial" w:hAnsi="Arial" w:cs="Arial"/>
          <w:bCs/>
        </w:rPr>
      </w:pPr>
    </w:p>
    <w:p w14:paraId="2D9999B3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6.2.22. Despachar processo</w:t>
      </w:r>
    </w:p>
    <w:p w14:paraId="78AA20E5" w14:textId="77777777" w:rsidR="005A7DA4" w:rsidRDefault="00D7765B" w:rsidP="00985FC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caso de recomendações, o Ordenador de Despesas deve despachar o processo para atendimento.</w:t>
      </w:r>
    </w:p>
    <w:p w14:paraId="31BCEC3A" w14:textId="77777777" w:rsidR="005A7DA4" w:rsidRDefault="005A7DA4" w:rsidP="00985FC8">
      <w:pPr>
        <w:jc w:val="both"/>
        <w:rPr>
          <w:rFonts w:ascii="Arial" w:hAnsi="Arial" w:cs="Arial"/>
          <w:bCs/>
        </w:rPr>
      </w:pPr>
    </w:p>
    <w:p w14:paraId="37BF2A70" w14:textId="77777777" w:rsidR="005A7DA4" w:rsidRDefault="005A7DA4" w:rsidP="00985FC8">
      <w:pPr>
        <w:jc w:val="both"/>
        <w:rPr>
          <w:rFonts w:ascii="Arial" w:hAnsi="Arial" w:cs="Arial"/>
          <w:bCs/>
        </w:rPr>
      </w:pPr>
    </w:p>
    <w:p w14:paraId="3BCBDB76" w14:textId="77777777" w:rsidR="005A7DA4" w:rsidRDefault="005A7DA4" w:rsidP="00985FC8">
      <w:pPr>
        <w:jc w:val="both"/>
        <w:rPr>
          <w:rFonts w:ascii="Arial" w:hAnsi="Arial" w:cs="Arial"/>
          <w:bCs/>
        </w:rPr>
      </w:pPr>
    </w:p>
    <w:p w14:paraId="55139919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6.2.23. Atender recomendações</w:t>
      </w:r>
    </w:p>
    <w:p w14:paraId="6BE541B3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lastRenderedPageBreak/>
        <w:t>A SALMOX, por meio de representante ou responsável, deve atender às recomendações da PGE e despachar para formalização do Termo de Doação. Na sequência, deve-se seguir para o item 6.2.24</w:t>
      </w:r>
      <w:r>
        <w:rPr>
          <w:rFonts w:ascii="Arial" w:hAnsi="Arial" w:cs="Arial"/>
          <w:b/>
        </w:rPr>
        <w:t>.</w:t>
      </w:r>
    </w:p>
    <w:p w14:paraId="55166643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575E0A74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6.2.24. Formalizar Termo de Doação</w:t>
      </w:r>
    </w:p>
    <w:p w14:paraId="4DC3F67B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GECON, por meio de representante ou responsável, deve formalizar o Termo de Doação de Bens Móveis Inservíveis e iniciar a captura do documento no sistema E-Docs, incluindo como assinantes o Ordenador de Despesas da SEDU e o representante legal da entidade envolvida como cidadão. Após capturado, entranhar o documento ao processo. </w:t>
      </w:r>
    </w:p>
    <w:p w14:paraId="71D3AD90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60B66831" w14:textId="77777777" w:rsidR="005A7DA4" w:rsidRDefault="00D7765B" w:rsidP="00985F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6.2.25. Elaborar resumo para publicação</w:t>
      </w:r>
    </w:p>
    <w:p w14:paraId="50C81BCE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GECON, por meio de representante ou responsável, deve providenciar o resumo da publicação, iniciar a captura do documento no sistema E-Docs, adicionar o Ordenador de Despesas como único assinante. </w:t>
      </w:r>
    </w:p>
    <w:p w14:paraId="27DF9F47" w14:textId="77777777" w:rsidR="005A7DA4" w:rsidRDefault="005A7DA4" w:rsidP="00985FC8">
      <w:pPr>
        <w:jc w:val="both"/>
        <w:rPr>
          <w:rFonts w:ascii="Arial" w:hAnsi="Arial" w:cs="Arial"/>
        </w:rPr>
      </w:pPr>
    </w:p>
    <w:p w14:paraId="48EE40C8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processo fica sob a custódia da GECON aguardando publicação no DIOES.</w:t>
      </w:r>
    </w:p>
    <w:p w14:paraId="77381843" w14:textId="77777777" w:rsidR="005A7DA4" w:rsidRDefault="005A7DA4" w:rsidP="00985FC8">
      <w:pPr>
        <w:jc w:val="both"/>
        <w:rPr>
          <w:rFonts w:ascii="Arial" w:hAnsi="Arial" w:cs="Arial"/>
        </w:rPr>
      </w:pPr>
    </w:p>
    <w:p w14:paraId="3E07B9DA" w14:textId="77777777" w:rsidR="005A7DA4" w:rsidRDefault="00D7765B" w:rsidP="00985FC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6.2.26. Enviar arquivo para publicação</w:t>
      </w:r>
    </w:p>
    <w:p w14:paraId="4971AF3F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GECON, por meio de representante ou responsável, deve enviar por e-mail o arquivo editável com o resumo da publicação e o resumo capturado no sistema com assinatura do Ordenador de Despesas à SEAP para publicação. </w:t>
      </w:r>
    </w:p>
    <w:p w14:paraId="295CCF91" w14:textId="77777777" w:rsidR="005A7DA4" w:rsidRDefault="005A7DA4" w:rsidP="00985FC8">
      <w:pPr>
        <w:jc w:val="both"/>
        <w:rPr>
          <w:rFonts w:ascii="Arial" w:hAnsi="Arial" w:cs="Arial"/>
        </w:rPr>
      </w:pPr>
    </w:p>
    <w:p w14:paraId="6893B2AF" w14:textId="77777777" w:rsidR="005A7DA4" w:rsidRDefault="00D7765B" w:rsidP="00985FC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6.2.27. Enviar resumo da publicação</w:t>
      </w:r>
    </w:p>
    <w:p w14:paraId="053AC895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SEAP, por meio de representante ou responsável, deve enviar o arquivo com o resumo para publicação no DIO/ES. </w:t>
      </w:r>
    </w:p>
    <w:p w14:paraId="3B2DA9E9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</w:rPr>
      </w:pPr>
    </w:p>
    <w:p w14:paraId="61DC28CF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6.2.28. Capturar ato publicado </w:t>
      </w:r>
    </w:p>
    <w:p w14:paraId="56166CE2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GECON, por meio de representante ou responsável, deve consultar o DIOES para verificar a publicação, capturar o ato publicado, entranhar ao processo e despachar para providências que se fizerem necessárias. </w:t>
      </w:r>
    </w:p>
    <w:p w14:paraId="355BF238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</w:rPr>
      </w:pPr>
    </w:p>
    <w:p w14:paraId="23681933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6.2.29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Solicitar autorização de baixa patrimonial e baixa contábil</w:t>
      </w:r>
    </w:p>
    <w:p w14:paraId="6B9B7E9C" w14:textId="77777777" w:rsidR="005A7DA4" w:rsidRDefault="00D7765B" w:rsidP="00985FC8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A SALMOX, por meio de representante ou responsável, deve despachar o processo para o Ordenador de Despesas, solicitando autorização de baixa patrimonial e baixa contábil. </w:t>
      </w:r>
    </w:p>
    <w:p w14:paraId="475512A5" w14:textId="77777777" w:rsidR="005A7DA4" w:rsidRDefault="005A7DA4" w:rsidP="00985FC8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25B9140B" w14:textId="77777777" w:rsidR="005A7DA4" w:rsidRDefault="00D7765B" w:rsidP="00985FC8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6.2.30. Autorizar baixa patrimonial e baixa contábil </w:t>
      </w:r>
    </w:p>
    <w:p w14:paraId="4842A424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Ordenador de Despesas deve autorizar, por meio de despacho no processo, a baixa patrimonial e a baixa contábil. </w:t>
      </w:r>
    </w:p>
    <w:p w14:paraId="3F9FD11F" w14:textId="77777777" w:rsidR="005A7DA4" w:rsidRDefault="005A7DA4" w:rsidP="00985FC8">
      <w:pPr>
        <w:jc w:val="both"/>
        <w:rPr>
          <w:rFonts w:ascii="Arial" w:hAnsi="Arial" w:cs="Arial"/>
          <w:b/>
        </w:rPr>
      </w:pPr>
    </w:p>
    <w:p w14:paraId="71265625" w14:textId="77777777" w:rsidR="005A7DA4" w:rsidRDefault="00D7765B" w:rsidP="00985FC8">
      <w:pPr>
        <w:pStyle w:val="PargrafodaLista"/>
        <w:numPr>
          <w:ilvl w:val="2"/>
          <w:numId w:val="13"/>
        </w:numPr>
        <w:tabs>
          <w:tab w:val="left" w:pos="426"/>
          <w:tab w:val="left" w:pos="567"/>
          <w:tab w:val="left" w:pos="709"/>
          <w:tab w:val="left" w:pos="851"/>
        </w:tabs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Realizar baixa patrimonial</w:t>
      </w:r>
    </w:p>
    <w:p w14:paraId="66C3B902" w14:textId="3FC0A11C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SALMOX, por meio de representante ou responsável, deve realizar procedimento de baixa patrimonial no SIGA, entranhar o Termo de Baixa Definitiva ao processo e despachá-lo. </w:t>
      </w:r>
    </w:p>
    <w:p w14:paraId="7D9D6D65" w14:textId="77777777" w:rsidR="005A7DA4" w:rsidRDefault="005A7DA4" w:rsidP="00985FC8">
      <w:pPr>
        <w:jc w:val="both"/>
        <w:rPr>
          <w:rFonts w:ascii="Arial" w:hAnsi="Arial" w:cs="Arial"/>
        </w:rPr>
      </w:pPr>
    </w:p>
    <w:p w14:paraId="1B7ABC92" w14:textId="77777777" w:rsidR="005A7DA4" w:rsidRDefault="00D7765B" w:rsidP="00985FC8">
      <w:pPr>
        <w:pStyle w:val="PargrafodaLista"/>
        <w:numPr>
          <w:ilvl w:val="2"/>
          <w:numId w:val="13"/>
        </w:numPr>
        <w:tabs>
          <w:tab w:val="left" w:pos="851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Realizar baixa contábil</w:t>
      </w:r>
    </w:p>
    <w:p w14:paraId="4EA0F0B3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GFS, por meio de representante ou responsável, deve realizar procedimento de baixa contábil no SIGEFES, entranhar documento ao processo e despachá-lo. </w:t>
      </w:r>
    </w:p>
    <w:p w14:paraId="0F3EDDB2" w14:textId="77777777" w:rsidR="005A7DA4" w:rsidRDefault="005A7DA4" w:rsidP="00985FC8">
      <w:pPr>
        <w:tabs>
          <w:tab w:val="left" w:pos="1134"/>
        </w:tabs>
        <w:jc w:val="both"/>
        <w:rPr>
          <w:rFonts w:ascii="Arial" w:hAnsi="Arial" w:cs="Arial"/>
        </w:rPr>
      </w:pPr>
    </w:p>
    <w:p w14:paraId="79CBA0E5" w14:textId="77777777" w:rsidR="005A7DA4" w:rsidRDefault="00D7765B" w:rsidP="00985FC8">
      <w:pPr>
        <w:pStyle w:val="PargrafodaLista"/>
        <w:numPr>
          <w:ilvl w:val="2"/>
          <w:numId w:val="13"/>
        </w:numPr>
        <w:tabs>
          <w:tab w:val="left" w:pos="426"/>
          <w:tab w:val="left" w:pos="851"/>
        </w:tabs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Informar a entidade</w:t>
      </w:r>
    </w:p>
    <w:p w14:paraId="13E869FB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SALMOX, por meio de representante ou responsável, deve enviar e-mail informando à entidade que os bens móveis devem ser ingressados ao patrimônio próprio. </w:t>
      </w:r>
    </w:p>
    <w:p w14:paraId="56366E2A" w14:textId="77777777" w:rsidR="005A7DA4" w:rsidRDefault="005A7DA4" w:rsidP="00985FC8">
      <w:pPr>
        <w:jc w:val="both"/>
        <w:rPr>
          <w:rFonts w:ascii="Arial" w:hAnsi="Arial" w:cs="Arial"/>
        </w:rPr>
      </w:pPr>
    </w:p>
    <w:p w14:paraId="012D3301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Após o Termo de Doação de Bens Móveis celebrado, deve providenciar o encerramento do processo no sistema E-Docs, ficando sob sua custódia.</w:t>
      </w:r>
    </w:p>
    <w:p w14:paraId="3E0A5680" w14:textId="77777777" w:rsidR="005A7DA4" w:rsidRDefault="00D7765B" w:rsidP="00985FC8">
      <w:pPr>
        <w:numPr>
          <w:ilvl w:val="0"/>
          <w:numId w:val="13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</w:rPr>
      </w:pPr>
      <w:bookmarkStart w:id="6" w:name="_Toc2700816951"/>
      <w:bookmarkEnd w:id="6"/>
      <w:r>
        <w:rPr>
          <w:rFonts w:ascii="Arial" w:hAnsi="Arial" w:cs="Arial"/>
          <w:b/>
          <w:bCs/>
        </w:rPr>
        <w:t xml:space="preserve">FLUXOGRAMAS </w:t>
      </w:r>
    </w:p>
    <w:p w14:paraId="2DA53BA0" w14:textId="77777777" w:rsidR="005A7DA4" w:rsidRDefault="00D7765B" w:rsidP="00985FC8">
      <w:pPr>
        <w:pStyle w:val="PargrafodaLista"/>
        <w:numPr>
          <w:ilvl w:val="1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Doação de Bens Móveis Inservíveis para Município</w:t>
      </w:r>
    </w:p>
    <w:p w14:paraId="36ED473C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32F9636" wp14:editId="03A28351">
            <wp:extent cx="5485765" cy="3244215"/>
            <wp:effectExtent l="0" t="0" r="0" b="0"/>
            <wp:docPr id="1" name="Imagem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00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2A808" w14:textId="77777777" w:rsidR="005A7DA4" w:rsidRDefault="00D7765B" w:rsidP="00985FC8">
      <w:pPr>
        <w:pStyle w:val="PargrafodaLista"/>
        <w:numPr>
          <w:ilvl w:val="1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Doação de Bens Móveis Inservíveis para Entidades Educacionais Filantrópicas</w:t>
      </w:r>
    </w:p>
    <w:p w14:paraId="77850F92" w14:textId="77777777" w:rsidR="005A7DA4" w:rsidRDefault="00D7765B" w:rsidP="00985FC8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C946AE8" wp14:editId="34D60DC4">
            <wp:extent cx="5582920" cy="370141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35DFB" w14:textId="77777777" w:rsidR="005A7DA4" w:rsidRDefault="00D7765B" w:rsidP="00985FC8">
      <w:pPr>
        <w:pStyle w:val="PargrafodaLista"/>
        <w:numPr>
          <w:ilvl w:val="0"/>
          <w:numId w:val="15"/>
        </w:numPr>
        <w:pBdr>
          <w:top w:val="thinThickSmallGap" w:sz="12" w:space="1" w:color="000000"/>
          <w:bottom w:val="thinThickSmallGap" w:sz="12" w:space="1" w:color="000000"/>
        </w:pBd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COMPLIANCE</w:t>
      </w:r>
    </w:p>
    <w:p w14:paraId="6A294F75" w14:textId="77777777" w:rsidR="005A7DA4" w:rsidRDefault="00D7765B" w:rsidP="00985FC8">
      <w:pPr>
        <w:numPr>
          <w:ilvl w:val="1"/>
          <w:numId w:val="15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Revisar a norma</w:t>
      </w:r>
    </w:p>
    <w:p w14:paraId="4DDA1D36" w14:textId="77777777" w:rsidR="005A7DA4" w:rsidRDefault="00D7765B" w:rsidP="00985FC8">
      <w:pPr>
        <w:tabs>
          <w:tab w:val="left" w:pos="142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Esta norma deverá ser revisada pela área finalística, quando necessário, por alterações da legislação ou quando for proposta melhoria da NP, conforme disposto no art. 6º do Decreto nº 4.130-R, de 17 de julho de 2017.</w:t>
      </w:r>
      <w:bookmarkStart w:id="7" w:name="_Toc270081702"/>
      <w:bookmarkEnd w:id="7"/>
    </w:p>
    <w:p w14:paraId="439F7510" w14:textId="77777777" w:rsidR="005A7DA4" w:rsidRDefault="00D7765B" w:rsidP="00985FC8">
      <w:pPr>
        <w:pBdr>
          <w:top w:val="thinThickSmallGap" w:sz="12" w:space="1" w:color="000000"/>
          <w:bottom w:val="thinThickSmallGap" w:sz="12" w:space="1" w:color="000000"/>
        </w:pBd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INFORMAÇÕES ADICIONAIS</w:t>
      </w:r>
    </w:p>
    <w:p w14:paraId="575AB57C" w14:textId="77777777" w:rsidR="005A7DA4" w:rsidRDefault="00D7765B" w:rsidP="00985FC8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Procedimento para adicionar servidor municipal e representante de entidade educacional filantrópica como assinante no sistema E-Docs.</w:t>
      </w:r>
    </w:p>
    <w:p w14:paraId="4DF14B9C" w14:textId="77777777" w:rsidR="005A7DA4" w:rsidRDefault="00D7765B" w:rsidP="00985FC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Após realizar procedimentos iniciais para </w:t>
      </w:r>
      <w:r>
        <w:rPr>
          <w:rFonts w:ascii="Arial" w:hAnsi="Arial" w:cs="Arial"/>
          <w:bCs/>
          <w:i/>
          <w:iCs/>
        </w:rPr>
        <w:t>upload</w:t>
      </w:r>
      <w:r>
        <w:rPr>
          <w:rFonts w:ascii="Arial" w:hAnsi="Arial" w:cs="Arial"/>
          <w:bCs/>
        </w:rPr>
        <w:t xml:space="preserve"> de documentos:</w:t>
      </w:r>
    </w:p>
    <w:p w14:paraId="3CEE7949" w14:textId="77777777" w:rsidR="005A7DA4" w:rsidRDefault="00D7765B" w:rsidP="00985F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clicar em adicionar assinantes;</w:t>
      </w:r>
    </w:p>
    <w:p w14:paraId="23AFC8A7" w14:textId="77777777" w:rsidR="005A7DA4" w:rsidRDefault="00D7765B" w:rsidP="00985F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selecionar a opção “</w:t>
      </w:r>
      <w:r>
        <w:rPr>
          <w:rFonts w:ascii="Arial" w:hAnsi="Arial" w:cs="Arial"/>
          <w:b/>
        </w:rPr>
        <w:t>CIDADÃO”</w:t>
      </w:r>
      <w:r>
        <w:rPr>
          <w:rFonts w:ascii="Arial" w:hAnsi="Arial" w:cs="Arial"/>
          <w:bCs/>
        </w:rPr>
        <w:t>;</w:t>
      </w:r>
    </w:p>
    <w:p w14:paraId="29B16E0F" w14:textId="77777777" w:rsidR="005A7DA4" w:rsidRDefault="00D7765B" w:rsidP="00985F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digitar o número do </w:t>
      </w:r>
      <w:r>
        <w:rPr>
          <w:rFonts w:ascii="Arial" w:hAnsi="Arial" w:cs="Arial"/>
          <w:b/>
        </w:rPr>
        <w:t>CPF</w:t>
      </w:r>
      <w:r>
        <w:rPr>
          <w:rFonts w:ascii="Arial" w:hAnsi="Arial" w:cs="Arial"/>
          <w:bCs/>
        </w:rPr>
        <w:t>;</w:t>
      </w:r>
    </w:p>
    <w:p w14:paraId="16D8028E" w14:textId="77777777" w:rsidR="005A7DA4" w:rsidRDefault="00D7765B" w:rsidP="00985F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clicar em “</w:t>
      </w:r>
      <w:r>
        <w:rPr>
          <w:rFonts w:ascii="Arial" w:hAnsi="Arial" w:cs="Arial"/>
          <w:b/>
        </w:rPr>
        <w:t>ADICIONAR ESTE CIDADÃO”</w:t>
      </w:r>
      <w:r>
        <w:rPr>
          <w:rFonts w:ascii="Arial" w:hAnsi="Arial" w:cs="Arial"/>
          <w:bCs/>
        </w:rPr>
        <w:t xml:space="preserve"> e em “</w:t>
      </w:r>
      <w:r>
        <w:rPr>
          <w:rFonts w:ascii="Arial" w:hAnsi="Arial" w:cs="Arial"/>
          <w:b/>
        </w:rPr>
        <w:t>OK”</w:t>
      </w:r>
      <w:r>
        <w:rPr>
          <w:rFonts w:ascii="Arial" w:hAnsi="Arial" w:cs="Arial"/>
          <w:bCs/>
        </w:rPr>
        <w:t>;</w:t>
      </w:r>
    </w:p>
    <w:p w14:paraId="77E6B189" w14:textId="77777777" w:rsidR="005A7DA4" w:rsidRDefault="00D7765B" w:rsidP="00985F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clicar em “</w:t>
      </w:r>
      <w:r>
        <w:rPr>
          <w:rFonts w:ascii="Arial" w:hAnsi="Arial" w:cs="Arial"/>
          <w:b/>
        </w:rPr>
        <w:t>PRÓXIMO”</w:t>
      </w:r>
      <w:r>
        <w:rPr>
          <w:rFonts w:ascii="Arial" w:hAnsi="Arial" w:cs="Arial"/>
          <w:bCs/>
        </w:rPr>
        <w:t xml:space="preserve"> e em “</w:t>
      </w:r>
      <w:r>
        <w:rPr>
          <w:rFonts w:ascii="Arial" w:hAnsi="Arial" w:cs="Arial"/>
          <w:b/>
        </w:rPr>
        <w:t>PRÓXIMO”</w:t>
      </w:r>
      <w:r>
        <w:rPr>
          <w:rFonts w:ascii="Arial" w:hAnsi="Arial" w:cs="Arial"/>
          <w:bCs/>
        </w:rPr>
        <w:t xml:space="preserve"> novamente;</w:t>
      </w:r>
    </w:p>
    <w:p w14:paraId="6835DE8F" w14:textId="77777777" w:rsidR="005A7DA4" w:rsidRDefault="00D7765B" w:rsidP="00985F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clicar em “</w:t>
      </w:r>
      <w:r>
        <w:rPr>
          <w:rFonts w:ascii="Arial" w:hAnsi="Arial" w:cs="Arial"/>
          <w:b/>
        </w:rPr>
        <w:t>CAPTURAR’</w:t>
      </w:r>
      <w:r>
        <w:rPr>
          <w:rFonts w:ascii="Arial" w:hAnsi="Arial" w:cs="Arial"/>
          <w:bCs/>
        </w:rPr>
        <w:t xml:space="preserve"> e ‘</w:t>
      </w:r>
      <w:r>
        <w:rPr>
          <w:rFonts w:ascii="Arial" w:hAnsi="Arial" w:cs="Arial"/>
          <w:b/>
        </w:rPr>
        <w:t>CAPTURAR’</w:t>
      </w:r>
      <w:r>
        <w:rPr>
          <w:rFonts w:ascii="Arial" w:hAnsi="Arial" w:cs="Arial"/>
          <w:bCs/>
        </w:rPr>
        <w:t xml:space="preserve"> novamente para confirmar a ação;</w:t>
      </w:r>
    </w:p>
    <w:p w14:paraId="75A815A6" w14:textId="77777777" w:rsidR="005A7DA4" w:rsidRDefault="00D7765B" w:rsidP="00985F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aguardar que o envolvido assine o documento.</w:t>
      </w:r>
    </w:p>
    <w:p w14:paraId="4C536B41" w14:textId="77777777" w:rsidR="005A7DA4" w:rsidRDefault="00D7765B" w:rsidP="00985FC8">
      <w:pPr>
        <w:pStyle w:val="PargrafodaLista"/>
        <w:numPr>
          <w:ilvl w:val="0"/>
          <w:numId w:val="14"/>
        </w:numPr>
        <w:pBdr>
          <w:top w:val="thinThickSmallGap" w:sz="12" w:space="1" w:color="000000"/>
          <w:bottom w:val="thinThickSmallGap" w:sz="12" w:space="1" w:color="000000"/>
        </w:pBdr>
        <w:spacing w:before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ANEXOS</w:t>
      </w:r>
    </w:p>
    <w:p w14:paraId="37467075" w14:textId="77777777" w:rsidR="005A7DA4" w:rsidRDefault="00D7765B" w:rsidP="00985FC8">
      <w:pPr>
        <w:numPr>
          <w:ilvl w:val="1"/>
          <w:numId w:val="14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Anexo I – Fluxograma ampliado</w:t>
      </w:r>
    </w:p>
    <w:p w14:paraId="24551C29" w14:textId="77777777" w:rsidR="005A7DA4" w:rsidRDefault="00D7765B" w:rsidP="00985FC8">
      <w:pPr>
        <w:numPr>
          <w:ilvl w:val="0"/>
          <w:numId w:val="14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ASSINATURAS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5A7DA4" w14:paraId="00DB1BA6" w14:textId="77777777"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1AB2" w14:textId="77777777" w:rsidR="005A7DA4" w:rsidRDefault="00D7765B" w:rsidP="00985FC8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EQUIPE DE ELABORAÇÃO:</w:t>
            </w:r>
          </w:p>
        </w:tc>
      </w:tr>
      <w:tr w:rsidR="005A7DA4" w14:paraId="18F506B7" w14:textId="77777777">
        <w:trPr>
          <w:trHeight w:val="128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61E1" w14:textId="77777777" w:rsidR="005A7DA4" w:rsidRDefault="00D7765B" w:rsidP="00985FC8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Matheus Donna Volponi</w:t>
            </w:r>
          </w:p>
          <w:p w14:paraId="1F77E5E2" w14:textId="77777777" w:rsidR="005A7DA4" w:rsidRDefault="00D7765B" w:rsidP="00985FC8">
            <w:pPr>
              <w:spacing w:before="1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Gerente Administrativo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D8C1" w14:textId="77777777" w:rsidR="005A7DA4" w:rsidRDefault="00D7765B" w:rsidP="00985FC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Igor Marchetti Andreon</w:t>
            </w:r>
          </w:p>
          <w:p w14:paraId="7C1A5327" w14:textId="77777777" w:rsidR="005A7DA4" w:rsidRDefault="00D7765B" w:rsidP="00985FC8">
            <w:pPr>
              <w:spacing w:before="1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Subgerente de Almoxarifado</w:t>
            </w:r>
          </w:p>
        </w:tc>
      </w:tr>
      <w:tr w:rsidR="005A7DA4" w14:paraId="1E6C63D2" w14:textId="77777777">
        <w:trPr>
          <w:trHeight w:val="126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29A9E" w14:textId="77777777" w:rsidR="005A7DA4" w:rsidRDefault="00D7765B" w:rsidP="00985FC8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Keila Cristina Lopes de Souza</w:t>
            </w:r>
          </w:p>
          <w:p w14:paraId="2356C69F" w14:textId="78CB2F2C" w:rsidR="005A7DA4" w:rsidRPr="00BA7A56" w:rsidRDefault="00D7765B" w:rsidP="00985FC8">
            <w:pPr>
              <w:spacing w:before="1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Técnico de Nível Superior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9827" w14:textId="77777777" w:rsidR="005A7DA4" w:rsidRDefault="00D7765B" w:rsidP="00985FC8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Virginia Maria Bravin</w:t>
            </w:r>
          </w:p>
          <w:p w14:paraId="71EFFA90" w14:textId="77777777" w:rsidR="005A7DA4" w:rsidRDefault="00D7765B" w:rsidP="00985FC8">
            <w:pPr>
              <w:spacing w:before="1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Agente de Suporte Educacional</w:t>
            </w:r>
          </w:p>
        </w:tc>
      </w:tr>
      <w:tr w:rsidR="005A7DA4" w14:paraId="4F387A52" w14:textId="77777777"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2C5B" w14:textId="77777777" w:rsidR="005A7DA4" w:rsidRDefault="00D7765B" w:rsidP="00985FC8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SUPORTE À ELABORAÇÃO:</w:t>
            </w:r>
          </w:p>
        </w:tc>
      </w:tr>
      <w:tr w:rsidR="005A7DA4" w14:paraId="222C1A04" w14:textId="77777777" w:rsidTr="00BA7A56">
        <w:trPr>
          <w:trHeight w:val="120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2363" w14:textId="77777777" w:rsidR="005A7DA4" w:rsidRDefault="00D7765B" w:rsidP="00985FC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Andrea Paoliello de Freitas</w:t>
            </w:r>
          </w:p>
          <w:p w14:paraId="23C3887C" w14:textId="699095DE" w:rsidR="005A7DA4" w:rsidRPr="00BA7A56" w:rsidRDefault="00D7765B" w:rsidP="00985FC8">
            <w:pPr>
              <w:spacing w:before="120"/>
              <w:ind w:right="-11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Especialista em Políticas Públicas e Gestão Governamental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F9A5" w14:textId="77777777" w:rsidR="005A7DA4" w:rsidRDefault="00D7765B" w:rsidP="00985FC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Adolpho Vieira Ferreira Júnior</w:t>
            </w:r>
          </w:p>
          <w:p w14:paraId="176BEB3C" w14:textId="2391B9C4" w:rsidR="005A7DA4" w:rsidRDefault="00D7765B" w:rsidP="00985FC8">
            <w:pPr>
              <w:spacing w:before="1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Coordenador da Unidade Executora de Controle Interno</w:t>
            </w:r>
          </w:p>
        </w:tc>
      </w:tr>
      <w:tr w:rsidR="005A7DA4" w14:paraId="346CC79F" w14:textId="77777777"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CE4B" w14:textId="77777777" w:rsidR="005A7DA4" w:rsidRDefault="00D7765B" w:rsidP="00985FC8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APROVAÇÃO:</w:t>
            </w:r>
          </w:p>
        </w:tc>
      </w:tr>
      <w:tr w:rsidR="005A7DA4" w14:paraId="28B2168D" w14:textId="77777777" w:rsidTr="00BA7A56">
        <w:trPr>
          <w:trHeight w:val="114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FD0" w14:textId="77777777" w:rsidR="005A7DA4" w:rsidRDefault="00D7765B" w:rsidP="00985FC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Josivaldo Barreto de Andrade</w:t>
            </w:r>
          </w:p>
          <w:p w14:paraId="0C41132A" w14:textId="34B5DC9A" w:rsidR="005A7DA4" w:rsidRPr="00BA7A56" w:rsidRDefault="00D7765B" w:rsidP="00985FC8">
            <w:pPr>
              <w:spacing w:before="1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Subsecretário de Estado de Administração e Finanças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4DE7" w14:textId="77777777" w:rsidR="00337011" w:rsidRPr="0008302C" w:rsidRDefault="00337011" w:rsidP="00985FC8">
            <w:pPr>
              <w:spacing w:before="120"/>
              <w:ind w:left="5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8302C">
              <w:rPr>
                <w:rFonts w:ascii="Arial" w:hAnsi="Arial" w:cs="Arial"/>
                <w:b/>
                <w:bCs/>
                <w:color w:val="000000"/>
              </w:rPr>
              <w:t>Andréa Guzzo Pereira</w:t>
            </w:r>
          </w:p>
          <w:p w14:paraId="1B01A20A" w14:textId="572A9339" w:rsidR="005A7DA4" w:rsidRDefault="00337011" w:rsidP="00985FC8">
            <w:pPr>
              <w:spacing w:before="120"/>
              <w:ind w:left="52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Secretário de Estado da Educação - Respondendo</w:t>
            </w:r>
          </w:p>
        </w:tc>
      </w:tr>
      <w:tr w:rsidR="005A7DA4" w14:paraId="7988D6B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EC8C" w14:textId="77777777" w:rsidR="005A7DA4" w:rsidRDefault="005A7DA4" w:rsidP="00985FC8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A215" w14:textId="77777777" w:rsidR="005A7DA4" w:rsidRDefault="00D7765B" w:rsidP="00985FC8">
            <w:pPr>
              <w:spacing w:before="1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Aprovado em xx de xxxx de 2022</w:t>
            </w:r>
          </w:p>
        </w:tc>
      </w:tr>
    </w:tbl>
    <w:p w14:paraId="11A1470E" w14:textId="77777777" w:rsidR="005A7DA4" w:rsidRDefault="005A7DA4" w:rsidP="00985FC8">
      <w:pPr>
        <w:jc w:val="both"/>
      </w:pPr>
    </w:p>
    <w:sectPr w:rsidR="005A7DA4">
      <w:headerReference w:type="default" r:id="rId10"/>
      <w:pgSz w:w="11906" w:h="16838"/>
      <w:pgMar w:top="1134" w:right="1133" w:bottom="1134" w:left="1701" w:header="709" w:footer="0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D6EBA" w16cex:dateUtc="2022-09-27T15:44:00Z"/>
  <w16cex:commentExtensible w16cex:durableId="26DD6DCE" w16cex:dateUtc="2022-09-27T15:40:00Z"/>
  <w16cex:commentExtensible w16cex:durableId="26DD6DF5" w16cex:dateUtc="2022-09-27T15:41:00Z"/>
  <w16cex:commentExtensible w16cex:durableId="26DD6E06" w16cex:dateUtc="2022-09-27T15:41:00Z"/>
  <w16cex:commentExtensible w16cex:durableId="26DD6E43" w16cex:dateUtc="2022-09-27T15:42:00Z"/>
  <w16cex:commentExtensible w16cex:durableId="26DD6E6B" w16cex:dateUtc="2022-09-27T15:43:00Z"/>
  <w16cex:commentExtensible w16cex:durableId="26DD6EA7" w16cex:dateUtc="2022-09-27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358DDA" w16cid:durableId="26DD6B06"/>
  <w16cid:commentId w16cid:paraId="261185B5" w16cid:durableId="26DD6B2F"/>
  <w16cid:commentId w16cid:paraId="17F61E0C" w16cid:durableId="26E05465"/>
  <w16cid:commentId w16cid:paraId="5D1B8D9F" w16cid:durableId="277287F6"/>
  <w16cid:commentId w16cid:paraId="54779FDE" w16cid:durableId="277288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ACDB7" w14:textId="77777777" w:rsidR="000F6BDA" w:rsidRDefault="000F6BDA">
      <w:r>
        <w:separator/>
      </w:r>
    </w:p>
  </w:endnote>
  <w:endnote w:type="continuationSeparator" w:id="0">
    <w:p w14:paraId="5FCFEF75" w14:textId="77777777" w:rsidR="000F6BDA" w:rsidRDefault="000F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306FF" w14:textId="77777777" w:rsidR="000F6BDA" w:rsidRDefault="000F6BDA">
      <w:r>
        <w:separator/>
      </w:r>
    </w:p>
  </w:footnote>
  <w:footnote w:type="continuationSeparator" w:id="0">
    <w:p w14:paraId="413399C9" w14:textId="77777777" w:rsidR="000F6BDA" w:rsidRDefault="000F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2895" w14:textId="77777777" w:rsidR="005A7DA4" w:rsidRDefault="00D7765B">
    <w:pPr>
      <w:spacing w:after="60"/>
      <w:ind w:firstLine="851"/>
      <w:rPr>
        <w:rFonts w:ascii="Arial Narrow" w:hAnsi="Arial Narrow" w:cs="Arial"/>
        <w:b/>
        <w:color w:val="244061"/>
        <w:spacing w:val="24"/>
        <w:sz w:val="22"/>
      </w:rPr>
    </w:pPr>
    <w:r>
      <w:rPr>
        <w:noProof/>
      </w:rPr>
      <w:drawing>
        <wp:anchor distT="0" distB="9525" distL="114300" distR="114935" simplePos="0" relativeHeight="14" behindDoc="1" locked="0" layoutInCell="1" allowOverlap="1" wp14:anchorId="3FB9991E" wp14:editId="4E33DD7A">
          <wp:simplePos x="0" y="0"/>
          <wp:positionH relativeFrom="column">
            <wp:posOffset>1905</wp:posOffset>
          </wp:positionH>
          <wp:positionV relativeFrom="paragraph">
            <wp:posOffset>-57150</wp:posOffset>
          </wp:positionV>
          <wp:extent cx="418465" cy="447675"/>
          <wp:effectExtent l="0" t="0" r="0" b="0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 w:cs="Arial"/>
        <w:b/>
        <w:color w:val="244061"/>
        <w:spacing w:val="24"/>
      </w:rPr>
      <w:t>GOVERNO DO ESTADO DO ESPÍRITO SANTO</w:t>
    </w:r>
  </w:p>
  <w:p w14:paraId="4D43A2A3" w14:textId="77777777" w:rsidR="005A7DA4" w:rsidRDefault="00D7765B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>
      <w:rPr>
        <w:rFonts w:ascii="Arial Narrow" w:hAnsi="Arial Narrow"/>
        <w:color w:val="244061"/>
        <w:sz w:val="20"/>
        <w:szCs w:val="19"/>
      </w:rPr>
      <w:t>SECRETARIA DE ESTADO DA EDUCAÇÃO</w:t>
    </w:r>
  </w:p>
  <w:p w14:paraId="36C31E22" w14:textId="77777777" w:rsidR="005A7DA4" w:rsidRDefault="005A7DA4">
    <w:pPr>
      <w:spacing w:after="60"/>
      <w:rPr>
        <w:rFonts w:ascii="Arial Narrow" w:hAnsi="Arial Narrow"/>
        <w:color w:val="244061"/>
        <w:sz w:val="20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FA7"/>
    <w:multiLevelType w:val="multilevel"/>
    <w:tmpl w:val="DF58D37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D513DA"/>
    <w:multiLevelType w:val="multilevel"/>
    <w:tmpl w:val="6A5A8974"/>
    <w:lvl w:ilvl="0">
      <w:start w:val="1"/>
      <w:numFmt w:val="lowerLetter"/>
      <w:lvlText w:val="%1)"/>
      <w:lvlJc w:val="left"/>
      <w:pPr>
        <w:ind w:left="790" w:hanging="360"/>
      </w:pPr>
    </w:lvl>
    <w:lvl w:ilvl="1">
      <w:start w:val="1"/>
      <w:numFmt w:val="lowerLetter"/>
      <w:lvlText w:val="%2."/>
      <w:lvlJc w:val="left"/>
      <w:pPr>
        <w:ind w:left="1510" w:hanging="360"/>
      </w:pPr>
    </w:lvl>
    <w:lvl w:ilvl="2">
      <w:start w:val="1"/>
      <w:numFmt w:val="lowerRoman"/>
      <w:lvlText w:val="%3."/>
      <w:lvlJc w:val="right"/>
      <w:pPr>
        <w:ind w:left="2230" w:hanging="180"/>
      </w:pPr>
    </w:lvl>
    <w:lvl w:ilvl="3">
      <w:start w:val="1"/>
      <w:numFmt w:val="decimal"/>
      <w:lvlText w:val="%4."/>
      <w:lvlJc w:val="left"/>
      <w:pPr>
        <w:ind w:left="2950" w:hanging="360"/>
      </w:pPr>
    </w:lvl>
    <w:lvl w:ilvl="4">
      <w:start w:val="1"/>
      <w:numFmt w:val="lowerLetter"/>
      <w:lvlText w:val="%5."/>
      <w:lvlJc w:val="left"/>
      <w:pPr>
        <w:ind w:left="3670" w:hanging="360"/>
      </w:pPr>
    </w:lvl>
    <w:lvl w:ilvl="5">
      <w:start w:val="1"/>
      <w:numFmt w:val="lowerRoman"/>
      <w:lvlText w:val="%6."/>
      <w:lvlJc w:val="right"/>
      <w:pPr>
        <w:ind w:left="4390" w:hanging="180"/>
      </w:pPr>
    </w:lvl>
    <w:lvl w:ilvl="6">
      <w:start w:val="1"/>
      <w:numFmt w:val="decimal"/>
      <w:lvlText w:val="%7."/>
      <w:lvlJc w:val="left"/>
      <w:pPr>
        <w:ind w:left="5110" w:hanging="360"/>
      </w:pPr>
    </w:lvl>
    <w:lvl w:ilvl="7">
      <w:start w:val="1"/>
      <w:numFmt w:val="lowerLetter"/>
      <w:lvlText w:val="%8."/>
      <w:lvlJc w:val="left"/>
      <w:pPr>
        <w:ind w:left="5830" w:hanging="360"/>
      </w:pPr>
    </w:lvl>
    <w:lvl w:ilvl="8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1AB25453"/>
    <w:multiLevelType w:val="multilevel"/>
    <w:tmpl w:val="6130F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1B58392E"/>
    <w:multiLevelType w:val="multilevel"/>
    <w:tmpl w:val="8BF6BE76"/>
    <w:lvl w:ilvl="0">
      <w:start w:val="9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235361A3"/>
    <w:multiLevelType w:val="multilevel"/>
    <w:tmpl w:val="F27C49FA"/>
    <w:lvl w:ilvl="0">
      <w:start w:val="1"/>
      <w:numFmt w:val="bullet"/>
      <w:lvlText w:val=""/>
      <w:lvlJc w:val="left"/>
      <w:pPr>
        <w:ind w:left="1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DF6030"/>
    <w:multiLevelType w:val="multilevel"/>
    <w:tmpl w:val="A6269FC0"/>
    <w:lvl w:ilvl="0">
      <w:start w:val="6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6" w15:restartNumberingAfterBreak="0">
    <w:nsid w:val="3B19769C"/>
    <w:multiLevelType w:val="multilevel"/>
    <w:tmpl w:val="3F0AEA0E"/>
    <w:lvl w:ilvl="0">
      <w:start w:val="1"/>
      <w:numFmt w:val="bullet"/>
      <w:lvlText w:val=""/>
      <w:lvlJc w:val="left"/>
      <w:pPr>
        <w:ind w:left="15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FF100E"/>
    <w:multiLevelType w:val="multilevel"/>
    <w:tmpl w:val="2F4E21BA"/>
    <w:lvl w:ilvl="0">
      <w:start w:val="1"/>
      <w:numFmt w:val="lowerLetter"/>
      <w:lvlText w:val="%1)"/>
      <w:lvlJc w:val="left"/>
      <w:pPr>
        <w:ind w:left="790" w:hanging="360"/>
      </w:pPr>
    </w:lvl>
    <w:lvl w:ilvl="1">
      <w:start w:val="1"/>
      <w:numFmt w:val="lowerLetter"/>
      <w:lvlText w:val="%2."/>
      <w:lvlJc w:val="left"/>
      <w:pPr>
        <w:ind w:left="1510" w:hanging="360"/>
      </w:pPr>
    </w:lvl>
    <w:lvl w:ilvl="2">
      <w:start w:val="1"/>
      <w:numFmt w:val="lowerRoman"/>
      <w:lvlText w:val="%3."/>
      <w:lvlJc w:val="right"/>
      <w:pPr>
        <w:ind w:left="2230" w:hanging="180"/>
      </w:pPr>
    </w:lvl>
    <w:lvl w:ilvl="3">
      <w:start w:val="1"/>
      <w:numFmt w:val="decimal"/>
      <w:lvlText w:val="%4."/>
      <w:lvlJc w:val="left"/>
      <w:pPr>
        <w:ind w:left="2950" w:hanging="360"/>
      </w:pPr>
    </w:lvl>
    <w:lvl w:ilvl="4">
      <w:start w:val="1"/>
      <w:numFmt w:val="lowerLetter"/>
      <w:lvlText w:val="%5."/>
      <w:lvlJc w:val="left"/>
      <w:pPr>
        <w:ind w:left="3670" w:hanging="360"/>
      </w:pPr>
    </w:lvl>
    <w:lvl w:ilvl="5">
      <w:start w:val="1"/>
      <w:numFmt w:val="lowerRoman"/>
      <w:lvlText w:val="%6."/>
      <w:lvlJc w:val="right"/>
      <w:pPr>
        <w:ind w:left="4390" w:hanging="180"/>
      </w:pPr>
    </w:lvl>
    <w:lvl w:ilvl="6">
      <w:start w:val="1"/>
      <w:numFmt w:val="decimal"/>
      <w:lvlText w:val="%7."/>
      <w:lvlJc w:val="left"/>
      <w:pPr>
        <w:ind w:left="5110" w:hanging="360"/>
      </w:pPr>
    </w:lvl>
    <w:lvl w:ilvl="7">
      <w:start w:val="1"/>
      <w:numFmt w:val="lowerLetter"/>
      <w:lvlText w:val="%8."/>
      <w:lvlJc w:val="left"/>
      <w:pPr>
        <w:ind w:left="5830" w:hanging="360"/>
      </w:pPr>
    </w:lvl>
    <w:lvl w:ilvl="8">
      <w:start w:val="1"/>
      <w:numFmt w:val="lowerRoman"/>
      <w:lvlText w:val="%9."/>
      <w:lvlJc w:val="right"/>
      <w:pPr>
        <w:ind w:left="6550" w:hanging="180"/>
      </w:pPr>
    </w:lvl>
  </w:abstractNum>
  <w:abstractNum w:abstractNumId="8" w15:restartNumberingAfterBreak="0">
    <w:nsid w:val="498D683C"/>
    <w:multiLevelType w:val="multilevel"/>
    <w:tmpl w:val="3984E9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2268B"/>
    <w:multiLevelType w:val="multilevel"/>
    <w:tmpl w:val="AE02EE5C"/>
    <w:lvl w:ilvl="0">
      <w:start w:val="6"/>
      <w:numFmt w:val="decimal"/>
      <w:lvlText w:val="%1."/>
      <w:lvlJc w:val="left"/>
      <w:pPr>
        <w:ind w:left="730" w:hanging="730"/>
      </w:pPr>
      <w:rPr>
        <w:i w:val="0"/>
      </w:rPr>
    </w:lvl>
    <w:lvl w:ilvl="1">
      <w:start w:val="1"/>
      <w:numFmt w:val="decimal"/>
      <w:lvlText w:val="%1.%2."/>
      <w:lvlJc w:val="left"/>
      <w:pPr>
        <w:ind w:left="730" w:hanging="730"/>
      </w:pPr>
      <w:rPr>
        <w:rFonts w:ascii="Arial" w:hAnsi="Arial"/>
        <w:b/>
        <w:i w:val="0"/>
        <w:color w:val="auto"/>
      </w:rPr>
    </w:lvl>
    <w:lvl w:ilvl="2">
      <w:start w:val="32"/>
      <w:numFmt w:val="decimal"/>
      <w:lvlText w:val="%1.%2.%3."/>
      <w:lvlJc w:val="left"/>
      <w:pPr>
        <w:ind w:left="730" w:hanging="730"/>
      </w:pPr>
      <w:rPr>
        <w:rFonts w:ascii="Arial" w:hAnsi="Arial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i w:val="0"/>
      </w:rPr>
    </w:lvl>
  </w:abstractNum>
  <w:abstractNum w:abstractNumId="10" w15:restartNumberingAfterBreak="0">
    <w:nsid w:val="53313A85"/>
    <w:multiLevelType w:val="multilevel"/>
    <w:tmpl w:val="A508C4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1E7B"/>
    <w:multiLevelType w:val="multilevel"/>
    <w:tmpl w:val="F5A661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FE2C94"/>
    <w:multiLevelType w:val="multilevel"/>
    <w:tmpl w:val="D284ADB6"/>
    <w:lvl w:ilvl="0">
      <w:start w:val="6"/>
      <w:numFmt w:val="decimal"/>
      <w:lvlText w:val="%1."/>
      <w:lvlJc w:val="left"/>
      <w:pPr>
        <w:ind w:left="730" w:hanging="730"/>
      </w:pPr>
    </w:lvl>
    <w:lvl w:ilvl="1">
      <w:start w:val="2"/>
      <w:numFmt w:val="decimal"/>
      <w:lvlText w:val="%1.%2."/>
      <w:lvlJc w:val="left"/>
      <w:pPr>
        <w:ind w:left="730" w:hanging="730"/>
      </w:pPr>
      <w:rPr>
        <w:i w:val="0"/>
      </w:rPr>
    </w:lvl>
    <w:lvl w:ilvl="2">
      <w:start w:val="31"/>
      <w:numFmt w:val="decimal"/>
      <w:lvlText w:val="%1.%2.%3."/>
      <w:lvlJc w:val="left"/>
      <w:pPr>
        <w:ind w:left="730" w:hanging="73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61F77B3B"/>
    <w:multiLevelType w:val="multilevel"/>
    <w:tmpl w:val="95A2D8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71ACB"/>
    <w:multiLevelType w:val="multilevel"/>
    <w:tmpl w:val="3D2C3988"/>
    <w:lvl w:ilvl="0">
      <w:start w:val="6"/>
      <w:numFmt w:val="decimal"/>
      <w:lvlText w:val="%1."/>
      <w:lvlJc w:val="left"/>
      <w:pPr>
        <w:ind w:left="720" w:hanging="72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ascii="Arial" w:hAnsi="Arial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i w:val="0"/>
      </w:rPr>
    </w:lvl>
  </w:abstractNum>
  <w:abstractNum w:abstractNumId="15" w15:restartNumberingAfterBreak="0">
    <w:nsid w:val="64D62784"/>
    <w:multiLevelType w:val="hybridMultilevel"/>
    <w:tmpl w:val="8F1EE4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14"/>
  </w:num>
  <w:num w:numId="12">
    <w:abstractNumId w:val="6"/>
  </w:num>
  <w:num w:numId="13">
    <w:abstractNumId w:val="12"/>
  </w:num>
  <w:num w:numId="14">
    <w:abstractNumId w:val="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A4"/>
    <w:rsid w:val="00053161"/>
    <w:rsid w:val="000E6278"/>
    <w:rsid w:val="000F6BDA"/>
    <w:rsid w:val="001932B0"/>
    <w:rsid w:val="001D7D3D"/>
    <w:rsid w:val="00262F27"/>
    <w:rsid w:val="00337011"/>
    <w:rsid w:val="003518C7"/>
    <w:rsid w:val="003E3075"/>
    <w:rsid w:val="005A7DA4"/>
    <w:rsid w:val="006C5E6A"/>
    <w:rsid w:val="006E1E9A"/>
    <w:rsid w:val="007D43A3"/>
    <w:rsid w:val="007D5E13"/>
    <w:rsid w:val="007E73F7"/>
    <w:rsid w:val="0081058A"/>
    <w:rsid w:val="00836ABE"/>
    <w:rsid w:val="008722D0"/>
    <w:rsid w:val="00985FC8"/>
    <w:rsid w:val="009A2224"/>
    <w:rsid w:val="009D790F"/>
    <w:rsid w:val="00A239AC"/>
    <w:rsid w:val="00B216E0"/>
    <w:rsid w:val="00B3505F"/>
    <w:rsid w:val="00BA7A56"/>
    <w:rsid w:val="00C00970"/>
    <w:rsid w:val="00CD0271"/>
    <w:rsid w:val="00CF1F64"/>
    <w:rsid w:val="00D222F2"/>
    <w:rsid w:val="00D7765B"/>
    <w:rsid w:val="00D94BD0"/>
    <w:rsid w:val="00DA4669"/>
    <w:rsid w:val="00EB6284"/>
    <w:rsid w:val="00F369C5"/>
    <w:rsid w:val="00F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FCFF"/>
  <w15:docId w15:val="{75935656-960C-4DC9-978A-B751B800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82"/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7F46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6496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0A48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649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649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649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649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649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649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882"/>
  </w:style>
  <w:style w:type="character" w:customStyle="1" w:styleId="RodapChar">
    <w:name w:val="Rodapé Char"/>
    <w:basedOn w:val="Fontepargpadro"/>
    <w:link w:val="Rodap"/>
    <w:uiPriority w:val="99"/>
    <w:qFormat/>
    <w:rsid w:val="009D2882"/>
  </w:style>
  <w:style w:type="character" w:styleId="Refdecomentrio">
    <w:name w:val="annotation reference"/>
    <w:uiPriority w:val="99"/>
    <w:semiHidden/>
    <w:unhideWhenUsed/>
    <w:qFormat/>
    <w:rsid w:val="0007769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7769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F7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FB0A48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customStyle="1" w:styleId="IN-Marcador1Char">
    <w:name w:val="IN - Marcador 1 Char"/>
    <w:basedOn w:val="Fontepargpadro"/>
    <w:qFormat/>
    <w:rsid w:val="00A22691"/>
    <w:rPr>
      <w:rFonts w:eastAsia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364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36496"/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36496"/>
    <w:rPr>
      <w:rFonts w:asciiTheme="majorHAnsi" w:eastAsiaTheme="majorEastAsia" w:hAnsiTheme="majorHAnsi" w:cstheme="majorBidi"/>
      <w:color w:val="365F91" w:themeColor="accent1" w:themeShade="B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36496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36496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3649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364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styleId="nfase">
    <w:name w:val="Emphasis"/>
    <w:basedOn w:val="Fontepargpadro"/>
    <w:uiPriority w:val="20"/>
    <w:qFormat/>
    <w:rsid w:val="002073D3"/>
    <w:rPr>
      <w:i/>
      <w:iCs/>
    </w:rPr>
  </w:style>
  <w:style w:type="character" w:customStyle="1" w:styleId="ListLabel1">
    <w:name w:val="ListLabel 1"/>
    <w:qFormat/>
    <w:rPr>
      <w:rFonts w:ascii="Arial" w:hAnsi="Arial"/>
      <w:b/>
      <w:i w:val="0"/>
      <w:color w:val="auto"/>
      <w:sz w:val="24"/>
      <w:szCs w:val="24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  <w:i w:val="0"/>
      <w:sz w:val="24"/>
      <w:szCs w:val="24"/>
    </w:rPr>
  </w:style>
  <w:style w:type="character" w:customStyle="1" w:styleId="ListLabel5">
    <w:name w:val="ListLabel 5"/>
    <w:qFormat/>
    <w:rPr>
      <w:color w:val="333399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/>
      <w:i w:val="0"/>
      <w:color w:val="auto"/>
      <w:sz w:val="24"/>
      <w:szCs w:val="24"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b/>
      <w:i w:val="0"/>
      <w:color w:val="auto"/>
      <w:sz w:val="24"/>
      <w:szCs w:val="24"/>
    </w:rPr>
  </w:style>
  <w:style w:type="character" w:customStyle="1" w:styleId="ListLabel25">
    <w:name w:val="ListLabel 25"/>
    <w:qFormat/>
    <w:rPr>
      <w:b/>
      <w:i w:val="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ascii="Arial" w:hAnsi="Arial"/>
      <w:color w:val="auto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i w:val="0"/>
    </w:rPr>
  </w:style>
  <w:style w:type="character" w:customStyle="1" w:styleId="ListLabel47">
    <w:name w:val="ListLabel 47"/>
    <w:qFormat/>
    <w:rPr>
      <w:rFonts w:ascii="Arial" w:hAnsi="Arial"/>
      <w:b/>
      <w:i w:val="0"/>
      <w:color w:val="auto"/>
    </w:rPr>
  </w:style>
  <w:style w:type="character" w:customStyle="1" w:styleId="ListLabel48">
    <w:name w:val="ListLabel 48"/>
    <w:qFormat/>
    <w:rPr>
      <w:rFonts w:ascii="Arial" w:hAnsi="Arial"/>
      <w:b/>
      <w:i w:val="0"/>
      <w:color w:val="auto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i w:val="0"/>
    </w:rPr>
  </w:style>
  <w:style w:type="character" w:customStyle="1" w:styleId="ListLabel51">
    <w:name w:val="ListLabel 51"/>
    <w:qFormat/>
    <w:rPr>
      <w:i w:val="0"/>
    </w:rPr>
  </w:style>
  <w:style w:type="character" w:customStyle="1" w:styleId="ListLabel52">
    <w:name w:val="ListLabel 52"/>
    <w:qFormat/>
    <w:rPr>
      <w:i w:val="0"/>
    </w:rPr>
  </w:style>
  <w:style w:type="character" w:customStyle="1" w:styleId="ListLabel53">
    <w:name w:val="ListLabel 53"/>
    <w:qFormat/>
    <w:rPr>
      <w:i w:val="0"/>
    </w:rPr>
  </w:style>
  <w:style w:type="character" w:customStyle="1" w:styleId="ListLabel54">
    <w:name w:val="ListLabel 54"/>
    <w:qFormat/>
    <w:rPr>
      <w:i w:val="0"/>
    </w:rPr>
  </w:style>
  <w:style w:type="character" w:customStyle="1" w:styleId="ListLabel55">
    <w:name w:val="ListLabel 55"/>
    <w:qFormat/>
    <w:rPr>
      <w:color w:val="auto"/>
    </w:rPr>
  </w:style>
  <w:style w:type="character" w:customStyle="1" w:styleId="ListLabel56">
    <w:name w:val="ListLabel 56"/>
    <w:qFormat/>
    <w:rPr>
      <w:b/>
      <w:bCs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i w:val="0"/>
    </w:rPr>
  </w:style>
  <w:style w:type="character" w:customStyle="1" w:styleId="ListLabel61">
    <w:name w:val="ListLabel 61"/>
    <w:qFormat/>
    <w:rPr>
      <w:i w:val="0"/>
    </w:rPr>
  </w:style>
  <w:style w:type="character" w:customStyle="1" w:styleId="ListLabel62">
    <w:name w:val="ListLabel 62"/>
    <w:qFormat/>
    <w:rPr>
      <w:rFonts w:ascii="Arial" w:hAnsi="Arial"/>
      <w:b/>
      <w:i w:val="0"/>
    </w:rPr>
  </w:style>
  <w:style w:type="character" w:customStyle="1" w:styleId="ListLabel63">
    <w:name w:val="ListLabel 63"/>
    <w:qFormat/>
    <w:rPr>
      <w:i w:val="0"/>
    </w:rPr>
  </w:style>
  <w:style w:type="character" w:customStyle="1" w:styleId="ListLabel64">
    <w:name w:val="ListLabel 64"/>
    <w:qFormat/>
    <w:rPr>
      <w:i w:val="0"/>
    </w:rPr>
  </w:style>
  <w:style w:type="character" w:customStyle="1" w:styleId="ListLabel65">
    <w:name w:val="ListLabel 65"/>
    <w:qFormat/>
    <w:rPr>
      <w:i w:val="0"/>
    </w:rPr>
  </w:style>
  <w:style w:type="character" w:customStyle="1" w:styleId="ListLabel66">
    <w:name w:val="ListLabel 66"/>
    <w:qFormat/>
    <w:rPr>
      <w:i w:val="0"/>
    </w:rPr>
  </w:style>
  <w:style w:type="character" w:customStyle="1" w:styleId="ListLabel67">
    <w:name w:val="ListLabel 67"/>
    <w:qFormat/>
    <w:rPr>
      <w:i w:val="0"/>
    </w:rPr>
  </w:style>
  <w:style w:type="character" w:customStyle="1" w:styleId="ListLabel68">
    <w:name w:val="ListLabel 68"/>
    <w:qFormat/>
    <w:rPr>
      <w:i w:val="0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i w:val="0"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rFonts w:ascii="Arial" w:hAnsi="Arial"/>
      <w:b/>
      <w:i w:val="0"/>
      <w:color w:val="auto"/>
      <w:sz w:val="24"/>
      <w:szCs w:val="24"/>
    </w:rPr>
  </w:style>
  <w:style w:type="character" w:customStyle="1" w:styleId="ListLabel75">
    <w:name w:val="ListLabel 75"/>
    <w:qFormat/>
    <w:rPr>
      <w:b/>
      <w:i w:val="0"/>
    </w:rPr>
  </w:style>
  <w:style w:type="character" w:customStyle="1" w:styleId="ListLabel76">
    <w:name w:val="ListLabel 76"/>
    <w:qFormat/>
    <w:rPr>
      <w:rFonts w:ascii="Arial" w:hAnsi="Arial" w:cs="Symbol"/>
      <w:color w:val="auto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i w:val="0"/>
    </w:rPr>
  </w:style>
  <w:style w:type="character" w:customStyle="1" w:styleId="ListLabel86">
    <w:name w:val="ListLabel 86"/>
    <w:qFormat/>
    <w:rPr>
      <w:rFonts w:ascii="Arial" w:hAnsi="Arial"/>
      <w:b/>
      <w:i w:val="0"/>
      <w:color w:val="auto"/>
    </w:rPr>
  </w:style>
  <w:style w:type="character" w:customStyle="1" w:styleId="ListLabel87">
    <w:name w:val="ListLabel 87"/>
    <w:qFormat/>
    <w:rPr>
      <w:rFonts w:ascii="Arial" w:hAnsi="Arial"/>
      <w:b/>
      <w:i w:val="0"/>
      <w:color w:val="auto"/>
    </w:rPr>
  </w:style>
  <w:style w:type="character" w:customStyle="1" w:styleId="ListLabel88">
    <w:name w:val="ListLabel 88"/>
    <w:qFormat/>
    <w:rPr>
      <w:i w:val="0"/>
    </w:rPr>
  </w:style>
  <w:style w:type="character" w:customStyle="1" w:styleId="ListLabel89">
    <w:name w:val="ListLabel 89"/>
    <w:qFormat/>
    <w:rPr>
      <w:i w:val="0"/>
    </w:rPr>
  </w:style>
  <w:style w:type="character" w:customStyle="1" w:styleId="ListLabel90">
    <w:name w:val="ListLabel 90"/>
    <w:qFormat/>
    <w:rPr>
      <w:i w:val="0"/>
    </w:rPr>
  </w:style>
  <w:style w:type="character" w:customStyle="1" w:styleId="ListLabel91">
    <w:name w:val="ListLabel 91"/>
    <w:qFormat/>
    <w:rPr>
      <w:i w:val="0"/>
    </w:rPr>
  </w:style>
  <w:style w:type="character" w:customStyle="1" w:styleId="ListLabel92">
    <w:name w:val="ListLabel 92"/>
    <w:qFormat/>
    <w:rPr>
      <w:i w:val="0"/>
    </w:rPr>
  </w:style>
  <w:style w:type="character" w:customStyle="1" w:styleId="ListLabel93">
    <w:name w:val="ListLabel 93"/>
    <w:qFormat/>
    <w:rPr>
      <w:i w:val="0"/>
    </w:rPr>
  </w:style>
  <w:style w:type="character" w:customStyle="1" w:styleId="ListLabel94">
    <w:name w:val="ListLabel 94"/>
    <w:qFormat/>
    <w:rPr>
      <w:rFonts w:ascii="Arial" w:hAnsi="Arial"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i w:val="0"/>
    </w:rPr>
  </w:style>
  <w:style w:type="character" w:customStyle="1" w:styleId="ListLabel104">
    <w:name w:val="ListLabel 104"/>
    <w:qFormat/>
    <w:rPr>
      <w:i w:val="0"/>
    </w:rPr>
  </w:style>
  <w:style w:type="character" w:customStyle="1" w:styleId="ListLabel105">
    <w:name w:val="ListLabel 105"/>
    <w:qFormat/>
    <w:rPr>
      <w:rFonts w:ascii="Arial" w:hAnsi="Arial"/>
      <w:b/>
      <w:i w:val="0"/>
    </w:rPr>
  </w:style>
  <w:style w:type="character" w:customStyle="1" w:styleId="ListLabel106">
    <w:name w:val="ListLabel 106"/>
    <w:qFormat/>
    <w:rPr>
      <w:i w:val="0"/>
    </w:rPr>
  </w:style>
  <w:style w:type="character" w:customStyle="1" w:styleId="ListLabel107">
    <w:name w:val="ListLabel 107"/>
    <w:qFormat/>
    <w:rPr>
      <w:i w:val="0"/>
    </w:rPr>
  </w:style>
  <w:style w:type="character" w:customStyle="1" w:styleId="ListLabel108">
    <w:name w:val="ListLabel 108"/>
    <w:qFormat/>
    <w:rPr>
      <w:i w:val="0"/>
    </w:rPr>
  </w:style>
  <w:style w:type="character" w:customStyle="1" w:styleId="ListLabel109">
    <w:name w:val="ListLabel 109"/>
    <w:qFormat/>
    <w:rPr>
      <w:i w:val="0"/>
    </w:rPr>
  </w:style>
  <w:style w:type="character" w:customStyle="1" w:styleId="ListLabel110">
    <w:name w:val="ListLabel 110"/>
    <w:qFormat/>
    <w:rPr>
      <w:i w:val="0"/>
    </w:rPr>
  </w:style>
  <w:style w:type="character" w:customStyle="1" w:styleId="ListLabel111">
    <w:name w:val="ListLabel 111"/>
    <w:qFormat/>
    <w:rPr>
      <w:i w:val="0"/>
    </w:rPr>
  </w:style>
  <w:style w:type="character" w:customStyle="1" w:styleId="ListLabel112">
    <w:name w:val="ListLabel 112"/>
    <w:qFormat/>
    <w:rPr>
      <w:rFonts w:ascii="Arial" w:hAnsi="Arial"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77691"/>
    <w:rPr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77691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D91969"/>
    <w:rPr>
      <w:b/>
      <w:bCs/>
      <w:lang w:val="pt-BR"/>
    </w:rPr>
  </w:style>
  <w:style w:type="paragraph" w:customStyle="1" w:styleId="IN-CorpodeTexto">
    <w:name w:val="IN - Corpo deTexto"/>
    <w:basedOn w:val="Normal"/>
    <w:qFormat/>
    <w:rsid w:val="00A22691"/>
    <w:pPr>
      <w:spacing w:before="120"/>
      <w:jc w:val="both"/>
    </w:pPr>
    <w:rPr>
      <w:rFonts w:ascii="Arial" w:hAnsi="Arial" w:cs="Arial"/>
    </w:rPr>
  </w:style>
  <w:style w:type="paragraph" w:customStyle="1" w:styleId="IN-Marcador1">
    <w:name w:val="IN - Marcador 1"/>
    <w:basedOn w:val="Normal"/>
    <w:qFormat/>
    <w:rsid w:val="00A22691"/>
    <w:pPr>
      <w:tabs>
        <w:tab w:val="left" w:pos="709"/>
      </w:tabs>
      <w:jc w:val="both"/>
    </w:pPr>
    <w:rPr>
      <w:rFonts w:ascii="Arial" w:hAnsi="Arial" w:cs="Arial"/>
    </w:rPr>
  </w:style>
  <w:style w:type="paragraph" w:customStyle="1" w:styleId="IN-Ttulo1Captulo">
    <w:name w:val="IN - Título 1 (Capítulo)"/>
    <w:basedOn w:val="Ttulo1"/>
    <w:qFormat/>
    <w:rsid w:val="00ED7F9C"/>
    <w:pPr>
      <w:keepLines w:val="0"/>
      <w:numPr>
        <w:numId w:val="0"/>
      </w:numPr>
      <w:spacing w:before="240" w:after="120"/>
      <w:ind w:left="357" w:hanging="357"/>
    </w:pPr>
    <w:rPr>
      <w:rFonts w:ascii="Arial" w:eastAsia="Times New Roman" w:hAnsi="Arial" w:cs="Arial"/>
      <w:bCs w:val="0"/>
      <w:caps/>
      <w:color w:val="auto"/>
      <w:kern w:val="2"/>
      <w:sz w:val="24"/>
      <w:szCs w:val="22"/>
    </w:rPr>
  </w:style>
  <w:style w:type="paragraph" w:customStyle="1" w:styleId="IN-Ttulo2Seo">
    <w:name w:val="IN - Título 2 (Seção)"/>
    <w:basedOn w:val="IN-Ttulo1Captulo"/>
    <w:qFormat/>
    <w:rsid w:val="00ED7F9C"/>
    <w:pPr>
      <w:ind w:left="720" w:hanging="720"/>
      <w:outlineLvl w:val="1"/>
    </w:pPr>
    <w:rPr>
      <w:caps w:val="0"/>
    </w:rPr>
  </w:style>
  <w:style w:type="paragraph" w:customStyle="1" w:styleId="IN-Ttulo3Diviso">
    <w:name w:val="IN - Título 3 (Divisão)"/>
    <w:basedOn w:val="IN-Ttulo2Seo"/>
    <w:qFormat/>
    <w:rsid w:val="00ED7F9C"/>
    <w:pPr>
      <w:outlineLvl w:val="2"/>
    </w:pPr>
    <w:rPr>
      <w:i/>
    </w:rPr>
  </w:style>
  <w:style w:type="paragraph" w:styleId="NormalWeb">
    <w:name w:val="Normal (Web)"/>
    <w:basedOn w:val="Normal"/>
    <w:qFormat/>
    <w:rsid w:val="00ED7F9C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5C2E-452D-4093-9BA3-C76E87D3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3725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23794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Prates</dc:creator>
  <dc:description/>
  <cp:lastModifiedBy>Bruna Perini de Matos</cp:lastModifiedBy>
  <cp:revision>2</cp:revision>
  <cp:lastPrinted>2017-07-20T13:19:00Z</cp:lastPrinted>
  <dcterms:created xsi:type="dcterms:W3CDTF">2023-01-18T19:59:00Z</dcterms:created>
  <dcterms:modified xsi:type="dcterms:W3CDTF">2023-01-18T19:59:00Z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SEDU - Secretaria da Educação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